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DE7B5D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216998">
        <w:rPr>
          <w:bCs/>
          <w:noProof w:val="0"/>
          <w:sz w:val="24"/>
          <w:szCs w:val="24"/>
        </w:rPr>
        <w:t>1</w:t>
      </w:r>
      <w:r w:rsidRPr="00B266B0">
        <w:rPr>
          <w:bCs/>
          <w:noProof w:val="0"/>
          <w:sz w:val="24"/>
          <w:szCs w:val="24"/>
        </w:rPr>
        <w:tab/>
      </w:r>
      <w:r w:rsidR="00B50369">
        <w:rPr>
          <w:bCs/>
          <w:noProof w:val="0"/>
          <w:sz w:val="24"/>
          <w:szCs w:val="24"/>
        </w:rPr>
        <w:t>R2-2</w:t>
      </w:r>
      <w:r w:rsidR="00035DDB">
        <w:rPr>
          <w:bCs/>
          <w:noProof w:val="0"/>
          <w:sz w:val="24"/>
          <w:szCs w:val="24"/>
        </w:rPr>
        <w:t>30</w:t>
      </w:r>
      <w:r w:rsidR="00EE013E">
        <w:rPr>
          <w:bCs/>
          <w:noProof w:val="0"/>
          <w:sz w:val="24"/>
          <w:szCs w:val="24"/>
        </w:rPr>
        <w:t>1494</w:t>
      </w:r>
    </w:p>
    <w:p w14:paraId="11776FA6" w14:textId="7FD8A19D" w:rsidR="00A209D6" w:rsidRPr="00465587" w:rsidRDefault="004624C7" w:rsidP="00A209D6">
      <w:pPr>
        <w:pStyle w:val="Header"/>
        <w:tabs>
          <w:tab w:val="right" w:pos="9639"/>
        </w:tabs>
        <w:rPr>
          <w:bCs/>
          <w:sz w:val="24"/>
          <w:szCs w:val="24"/>
          <w:lang w:eastAsia="zh-CN"/>
        </w:rPr>
      </w:pPr>
      <w:r>
        <w:rPr>
          <w:bCs/>
          <w:sz w:val="24"/>
          <w:szCs w:val="24"/>
          <w:lang w:eastAsia="zh-CN"/>
        </w:rPr>
        <w:t>Athens, Greece</w:t>
      </w:r>
      <w:r w:rsidR="006574C0" w:rsidRPr="006574C0">
        <w:rPr>
          <w:bCs/>
          <w:sz w:val="24"/>
          <w:szCs w:val="24"/>
          <w:lang w:eastAsia="zh-CN"/>
        </w:rPr>
        <w:t xml:space="preserve">, </w:t>
      </w:r>
      <w:r>
        <w:rPr>
          <w:bCs/>
          <w:sz w:val="24"/>
          <w:szCs w:val="24"/>
          <w:lang w:eastAsia="zh-CN"/>
        </w:rPr>
        <w:t>27</w:t>
      </w:r>
      <w:r w:rsidRPr="004624C7">
        <w:rPr>
          <w:bCs/>
          <w:sz w:val="24"/>
          <w:szCs w:val="24"/>
          <w:vertAlign w:val="superscript"/>
          <w:lang w:eastAsia="zh-CN"/>
        </w:rPr>
        <w:t>th</w:t>
      </w:r>
      <w:r>
        <w:rPr>
          <w:bCs/>
          <w:sz w:val="24"/>
          <w:szCs w:val="24"/>
          <w:lang w:eastAsia="zh-CN"/>
        </w:rPr>
        <w:t xml:space="preserve"> February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3</w:t>
      </w:r>
      <w:r w:rsidRPr="004624C7">
        <w:rPr>
          <w:bCs/>
          <w:sz w:val="24"/>
          <w:szCs w:val="24"/>
          <w:vertAlign w:val="superscript"/>
          <w:lang w:eastAsia="zh-CN"/>
        </w:rPr>
        <w:t>rd</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1CE82F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6998">
        <w:rPr>
          <w:rFonts w:cs="Arial"/>
          <w:b/>
          <w:bCs/>
          <w:sz w:val="24"/>
        </w:rPr>
        <w:t>8.6.3.1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607C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16998">
        <w:rPr>
          <w:rFonts w:eastAsia="SimSun"/>
          <w:b/>
          <w:bCs/>
          <w:sz w:val="24"/>
          <w:szCs w:val="20"/>
          <w:lang w:val="en-GB" w:eastAsia="en-US"/>
        </w:rPr>
        <w:t>On enhancements for neighbour cell measurements</w:t>
      </w:r>
      <w:r w:rsidR="00830B22" w:rsidRPr="00D64B1C">
        <w:rPr>
          <w:rFonts w:eastAsia="SimSun"/>
          <w:b/>
          <w:bCs/>
          <w:sz w:val="24"/>
          <w:szCs w:val="20"/>
          <w:lang w:val="en-GB" w:eastAsia="en-US"/>
        </w:rPr>
        <w:t xml:space="preserve"> </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66CEE32F" w14:textId="4E1B13F6"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measurements of neighbouring cells</w:t>
      </w:r>
      <w:r w:rsidR="007C6BBA">
        <w:rPr>
          <w:lang w:eastAsia="ko-KR"/>
        </w:rPr>
        <w:t>,</w:t>
      </w:r>
      <w:r w:rsidR="00F61EF6">
        <w:rPr>
          <w:lang w:eastAsia="ko-KR"/>
        </w:rPr>
        <w:t xml:space="preserve"> signaling</w:t>
      </w:r>
      <w:r w:rsidR="002E246F">
        <w:rPr>
          <w:lang w:eastAsia="ko-KR"/>
        </w:rPr>
        <w:t xml:space="preserve"> </w:t>
      </w:r>
      <w:r w:rsidR="00FB3656">
        <w:rPr>
          <w:lang w:eastAsia="ko-KR"/>
        </w:rPr>
        <w:t xml:space="preserve">of </w:t>
      </w:r>
      <w:r w:rsidR="002E246F">
        <w:rPr>
          <w:lang w:eastAsia="ko-KR"/>
        </w:rPr>
        <w:t>neighbo</w:t>
      </w:r>
      <w:r w:rsidR="00F61EF6">
        <w:rPr>
          <w:lang w:eastAsia="ko-KR"/>
        </w:rPr>
        <w:t>u</w:t>
      </w:r>
      <w:r w:rsidR="002E246F">
        <w:rPr>
          <w:lang w:eastAsia="ko-KR"/>
        </w:rPr>
        <w:t>r</w:t>
      </w:r>
      <w:r w:rsidR="00F61EF6">
        <w:rPr>
          <w:lang w:eastAsia="ko-KR"/>
        </w:rPr>
        <w:t xml:space="preserve"> cell</w:t>
      </w:r>
      <w:r w:rsidR="002E246F">
        <w:rPr>
          <w:lang w:eastAsia="ko-KR"/>
        </w:rPr>
        <w:t xml:space="preserve"> ephemeris for IoT NTN</w:t>
      </w:r>
      <w:r w:rsidR="007C6BBA">
        <w:rPr>
          <w:lang w:eastAsia="ko-KR"/>
        </w:rPr>
        <w:t xml:space="preserve"> and RLF procedures</w:t>
      </w:r>
      <w:r w:rsidR="00F72021">
        <w:rPr>
          <w:lang w:eastAsia="ko-KR"/>
        </w:rPr>
        <w:t>.</w:t>
      </w:r>
    </w:p>
    <w:p w14:paraId="51ABF603" w14:textId="5D0865DE" w:rsidR="00DC6A61" w:rsidRPr="006E13D1" w:rsidRDefault="00DC6A61" w:rsidP="00B7538C">
      <w:pPr>
        <w:pStyle w:val="Heading1"/>
      </w:pPr>
      <w:r>
        <w:t>Discussion</w:t>
      </w:r>
    </w:p>
    <w:p w14:paraId="41C87948" w14:textId="72D8C538" w:rsidR="00216998" w:rsidRDefault="007A74F5" w:rsidP="008A092A">
      <w:pPr>
        <w:pStyle w:val="PatentBody"/>
        <w:numPr>
          <w:ilvl w:val="0"/>
          <w:numId w:val="0"/>
        </w:numPr>
        <w:spacing w:after="180" w:line="240" w:lineRule="auto"/>
        <w:jc w:val="both"/>
        <w:rPr>
          <w:sz w:val="20"/>
        </w:rPr>
      </w:pPr>
      <w:r>
        <w:rPr>
          <w:sz w:val="20"/>
        </w:rPr>
        <w:t>In Rel-17 IoT NTN was introduced with minimal enhancement</w:t>
      </w:r>
      <w:r w:rsidR="00FB3656">
        <w:rPr>
          <w:sz w:val="20"/>
        </w:rPr>
        <w:t xml:space="preserve">s for mobility purposes. The idea was that mobility enhancements would not be crucial for a first release </w:t>
      </w:r>
      <w:r w:rsidR="00600A62">
        <w:rPr>
          <w:sz w:val="20"/>
        </w:rPr>
        <w:t>due to</w:t>
      </w:r>
      <w:r w:rsidR="00FB3656">
        <w:rPr>
          <w:sz w:val="20"/>
        </w:rPr>
        <w:t xml:space="preserve"> the use case </w:t>
      </w:r>
      <w:r w:rsidR="00600A62">
        <w:rPr>
          <w:sz w:val="20"/>
        </w:rPr>
        <w:t>being</w:t>
      </w:r>
      <w:r w:rsidR="00FB3656">
        <w:rPr>
          <w:sz w:val="20"/>
        </w:rPr>
        <w:t xml:space="preserve"> to deliver small amounts of IoT data. In Rel-18 the use case is for an IoT UE to be connected for a longer time. </w:t>
      </w:r>
      <w:r w:rsidR="002A488C">
        <w:rPr>
          <w:sz w:val="20"/>
        </w:rPr>
        <w:t xml:space="preserve">Regarding performing neighbour cell measurements, there are two objectives considered that are different. One is supporting conditions for performing neighbour cell measurements as those introduced for Rel-17 NB-IoT, the other is supporting the actual signalling as required by RAN4 for neighbour cell measurements in NTN. </w:t>
      </w:r>
    </w:p>
    <w:p w14:paraId="36ED4253" w14:textId="47163B4D" w:rsidR="0018139B" w:rsidRDefault="0018139B" w:rsidP="008A092A">
      <w:pPr>
        <w:pStyle w:val="PatentBody"/>
        <w:numPr>
          <w:ilvl w:val="0"/>
          <w:numId w:val="0"/>
        </w:numPr>
        <w:spacing w:after="180" w:line="240" w:lineRule="auto"/>
        <w:jc w:val="both"/>
        <w:rPr>
          <w:sz w:val="20"/>
        </w:rPr>
      </w:pPr>
    </w:p>
    <w:p w14:paraId="3AEDC7F3" w14:textId="77777777" w:rsidR="0018139B" w:rsidRDefault="0018139B" w:rsidP="008A092A">
      <w:pPr>
        <w:pStyle w:val="PatentBody"/>
        <w:numPr>
          <w:ilvl w:val="0"/>
          <w:numId w:val="0"/>
        </w:numPr>
        <w:spacing w:after="180" w:line="240" w:lineRule="auto"/>
        <w:jc w:val="both"/>
        <w:rPr>
          <w:sz w:val="20"/>
        </w:rPr>
      </w:pPr>
    </w:p>
    <w:p w14:paraId="13EF2C1A" w14:textId="77777777" w:rsidR="0018139B" w:rsidRDefault="0018139B" w:rsidP="0018139B">
      <w:pPr>
        <w:pStyle w:val="Heading2"/>
      </w:pPr>
      <w:r>
        <w:t>Neighbour cell measurements</w:t>
      </w:r>
    </w:p>
    <w:p w14:paraId="4C9A6084" w14:textId="38E44479" w:rsidR="0018139B" w:rsidRDefault="007E34F3" w:rsidP="0018139B">
      <w:pPr>
        <w:rPr>
          <w:lang w:val="en-GB" w:eastAsia="en-US"/>
        </w:rPr>
      </w:pPr>
      <w:r>
        <w:rPr>
          <w:lang w:val="en-GB" w:eastAsia="en-US"/>
        </w:rPr>
        <w:t>In Rel-17, neighbour cell measurements were introduced for NB-IoT.</w:t>
      </w:r>
      <w:r w:rsidR="0085098A">
        <w:rPr>
          <w:lang w:val="en-GB" w:eastAsia="en-US"/>
        </w:rPr>
        <w:t xml:space="preserve"> The use of the measurements is</w:t>
      </w:r>
      <w:r>
        <w:rPr>
          <w:lang w:val="en-GB" w:eastAsia="en-US"/>
        </w:rPr>
        <w:t xml:space="preserve"> to ensure faster recovery once an NB-IoT UE performs RLF. </w:t>
      </w:r>
      <w:r w:rsidR="0085098A">
        <w:rPr>
          <w:lang w:val="en-GB" w:eastAsia="en-US"/>
        </w:rPr>
        <w:t>This is done by</w:t>
      </w:r>
      <w:r w:rsidR="00742482">
        <w:rPr>
          <w:lang w:val="en-GB" w:eastAsia="en-US"/>
        </w:rPr>
        <w:t xml:space="preserve"> UE determining that it cannot relax the measurements according to idle mode specifications. The configuration is broadcasted</w:t>
      </w:r>
      <w:r w:rsidR="00600A62">
        <w:rPr>
          <w:lang w:val="en-GB" w:eastAsia="en-US"/>
        </w:rPr>
        <w:t xml:space="preserve"> in</w:t>
      </w:r>
      <w:r w:rsidR="0085098A">
        <w:rPr>
          <w:lang w:val="en-GB" w:eastAsia="en-US"/>
        </w:rPr>
        <w:t xml:space="preserve"> </w:t>
      </w:r>
      <w:r w:rsidR="0085098A" w:rsidRPr="0085098A">
        <w:rPr>
          <w:i/>
          <w:lang w:val="en-GB" w:eastAsia="en-US"/>
        </w:rPr>
        <w:t>connMeasConfig-NB</w:t>
      </w:r>
      <w:r w:rsidR="00742482">
        <w:rPr>
          <w:lang w:val="en-GB" w:eastAsia="en-US"/>
        </w:rPr>
        <w:t xml:space="preserve"> in SIB3/NB</w:t>
      </w:r>
      <w:r w:rsidR="00803EC1">
        <w:rPr>
          <w:lang w:val="en-GB" w:eastAsia="en-US"/>
        </w:rPr>
        <w:t xml:space="preserve"> which includes </w:t>
      </w:r>
      <w:r w:rsidR="00DB01B2">
        <w:rPr>
          <w:lang w:val="en-GB" w:eastAsia="en-US"/>
        </w:rPr>
        <w:t xml:space="preserve">separate </w:t>
      </w:r>
      <w:r w:rsidR="00DB01B2" w:rsidRPr="00600A62">
        <w:rPr>
          <w:i/>
          <w:lang w:val="en-GB" w:eastAsia="en-US"/>
        </w:rPr>
        <w:t>s-Measure</w:t>
      </w:r>
      <w:r w:rsidR="00DB01B2">
        <w:rPr>
          <w:lang w:val="en-GB" w:eastAsia="en-US"/>
        </w:rPr>
        <w:t xml:space="preserve"> for intra and inter-frequency cells and </w:t>
      </w:r>
      <w:r w:rsidR="00DB01B2" w:rsidRPr="0066417C">
        <w:rPr>
          <w:i/>
          <w:lang w:val="en-GB" w:eastAsia="en-US"/>
        </w:rPr>
        <w:t>s-MeasureDeltaP</w:t>
      </w:r>
      <w:r w:rsidR="00DB01B2">
        <w:rPr>
          <w:lang w:val="en-GB" w:eastAsia="en-US"/>
        </w:rPr>
        <w:t xml:space="preserve"> and </w:t>
      </w:r>
      <w:r w:rsidR="00DB01B2" w:rsidRPr="0066417C">
        <w:rPr>
          <w:i/>
          <w:lang w:val="en-GB" w:eastAsia="en-US"/>
        </w:rPr>
        <w:t>t-MeasureDeltaP</w:t>
      </w:r>
      <w:r w:rsidR="00DB01B2">
        <w:rPr>
          <w:lang w:val="en-GB" w:eastAsia="en-US"/>
        </w:rPr>
        <w:t>. If the configuration is present</w:t>
      </w:r>
      <w:r w:rsidR="007A0C28">
        <w:rPr>
          <w:lang w:val="en-GB" w:eastAsia="en-US"/>
        </w:rPr>
        <w:t xml:space="preserve"> and the UE supports the feature the</w:t>
      </w:r>
      <w:r w:rsidR="00742482">
        <w:rPr>
          <w:lang w:val="en-GB" w:eastAsia="en-US"/>
        </w:rPr>
        <w:t xml:space="preserve"> UE shall perform the actions</w:t>
      </w:r>
      <w:r w:rsidR="00C339E9">
        <w:rPr>
          <w:lang w:val="en-GB" w:eastAsia="en-US"/>
        </w:rPr>
        <w:t xml:space="preserve"> to measure neighbouring cells</w:t>
      </w:r>
      <w:r w:rsidR="00742482">
        <w:rPr>
          <w:lang w:val="en-GB" w:eastAsia="en-US"/>
        </w:rPr>
        <w:t xml:space="preserve">. </w:t>
      </w:r>
    </w:p>
    <w:p w14:paraId="02E93E21" w14:textId="32895524" w:rsidR="00016031" w:rsidRDefault="00016031" w:rsidP="0018139B">
      <w:pPr>
        <w:rPr>
          <w:lang w:val="en-GB" w:eastAsia="en-US"/>
        </w:rPr>
      </w:pPr>
      <w:r>
        <w:rPr>
          <w:lang w:val="en-GB" w:eastAsia="en-US"/>
        </w:rPr>
        <w:t>In relation to neighbour cell measurements for NB-IoT the following was agreed in RAN2#119-e:</w:t>
      </w:r>
    </w:p>
    <w:p w14:paraId="206BA522" w14:textId="77777777" w:rsidR="00016031" w:rsidRDefault="00016031" w:rsidP="00016031">
      <w:pPr>
        <w:pStyle w:val="Doc-text2"/>
        <w:pBdr>
          <w:top w:val="single" w:sz="4" w:space="1" w:color="auto"/>
          <w:left w:val="single" w:sz="4" w:space="4" w:color="auto"/>
          <w:bottom w:val="single" w:sz="4" w:space="1" w:color="auto"/>
          <w:right w:val="single" w:sz="4" w:space="4" w:color="auto"/>
        </w:pBdr>
      </w:pPr>
      <w:r w:rsidRPr="006104CA">
        <w:t>Agreements:</w:t>
      </w:r>
    </w:p>
    <w:p w14:paraId="5CAADC98" w14:textId="77777777" w:rsidR="00016031" w:rsidRDefault="00016031" w:rsidP="00016031">
      <w:pPr>
        <w:pStyle w:val="Doc-text2"/>
        <w:numPr>
          <w:ilvl w:val="0"/>
          <w:numId w:val="1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21DDABDB" w14:textId="77777777" w:rsidR="00016031" w:rsidRDefault="00016031" w:rsidP="00016031">
      <w:pPr>
        <w:pStyle w:val="Doc-text2"/>
        <w:numPr>
          <w:ilvl w:val="0"/>
          <w:numId w:val="12"/>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A0D6703" w14:textId="77777777" w:rsidR="00016031" w:rsidRPr="00016031" w:rsidRDefault="00016031" w:rsidP="0018139B">
      <w:pPr>
        <w:rPr>
          <w:lang w:eastAsia="en-US"/>
        </w:rPr>
      </w:pPr>
    </w:p>
    <w:p w14:paraId="0D938851" w14:textId="78D14BB9" w:rsidR="0018139B" w:rsidRDefault="00DF0B46" w:rsidP="0018139B">
      <w:pPr>
        <w:rPr>
          <w:lang w:val="en-GB" w:eastAsia="en-US"/>
        </w:rPr>
      </w:pPr>
      <w:r>
        <w:rPr>
          <w:lang w:val="en-GB" w:eastAsia="en-US"/>
        </w:rPr>
        <w:t>And i</w:t>
      </w:r>
      <w:r w:rsidR="00016031">
        <w:rPr>
          <w:lang w:val="en-GB" w:eastAsia="en-US"/>
        </w:rPr>
        <w:t>n RAN2#120 the following was agreed:</w:t>
      </w:r>
    </w:p>
    <w:p w14:paraId="5A314A20" w14:textId="77777777" w:rsidR="00016031" w:rsidRDefault="00016031" w:rsidP="00016031">
      <w:pPr>
        <w:pStyle w:val="Doc-text2"/>
        <w:pBdr>
          <w:top w:val="single" w:sz="4" w:space="1" w:color="auto"/>
          <w:left w:val="single" w:sz="4" w:space="4" w:color="auto"/>
          <w:bottom w:val="single" w:sz="4" w:space="1" w:color="auto"/>
          <w:right w:val="single" w:sz="4" w:space="4" w:color="auto"/>
        </w:pBdr>
      </w:pPr>
      <w:r>
        <w:t>Agreements:</w:t>
      </w:r>
    </w:p>
    <w:p w14:paraId="2FF5896A" w14:textId="77777777" w:rsidR="00016031" w:rsidRDefault="00016031" w:rsidP="00016031">
      <w:pPr>
        <w:pStyle w:val="Doc-text2"/>
        <w:numPr>
          <w:ilvl w:val="0"/>
          <w:numId w:val="11"/>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6FE666A1" w14:textId="2C70FDCB" w:rsidR="002772A6" w:rsidRDefault="002772A6" w:rsidP="0018139B">
      <w:pPr>
        <w:rPr>
          <w:lang w:eastAsia="en-US"/>
        </w:rPr>
      </w:pPr>
    </w:p>
    <w:p w14:paraId="621AFB56" w14:textId="3831CBF5" w:rsidR="00016031" w:rsidRDefault="00016031" w:rsidP="0018139B">
      <w:pPr>
        <w:rPr>
          <w:lang w:eastAsia="en-US"/>
        </w:rPr>
      </w:pPr>
      <w:r>
        <w:rPr>
          <w:lang w:eastAsia="en-US"/>
        </w:rPr>
        <w:t xml:space="preserve">While it is clear that neighbour cell measurement enhancements shall be supported for NB-IoT, whether it is supported for eMTC is still an open issue. </w:t>
      </w:r>
      <w:r w:rsidR="004E236C">
        <w:rPr>
          <w:lang w:eastAsia="en-US"/>
        </w:rPr>
        <w:t xml:space="preserve">In the </w:t>
      </w:r>
      <w:r w:rsidR="004E236C" w:rsidRPr="00D32165">
        <w:rPr>
          <w:lang w:eastAsia="en-US"/>
        </w:rPr>
        <w:t>table</w:t>
      </w:r>
      <w:r w:rsidR="00D32165" w:rsidRPr="00D32165">
        <w:rPr>
          <w:lang w:eastAsia="en-US"/>
        </w:rPr>
        <w:t xml:space="preserve"> 1</w:t>
      </w:r>
      <w:r w:rsidR="004E236C">
        <w:rPr>
          <w:lang w:eastAsia="en-US"/>
        </w:rPr>
        <w:t xml:space="preserve"> below, we consider the arguments for and against introducing the measurements regardless of whether this is considered to be supported by the wording</w:t>
      </w:r>
      <w:r w:rsidR="00600A62">
        <w:rPr>
          <w:lang w:eastAsia="en-US"/>
        </w:rPr>
        <w:t xml:space="preserve"> in</w:t>
      </w:r>
      <w:r w:rsidR="004E236C">
        <w:rPr>
          <w:lang w:eastAsia="en-US"/>
        </w:rPr>
        <w:t xml:space="preserve"> the WID. </w:t>
      </w:r>
    </w:p>
    <w:p w14:paraId="3ACBF3AD" w14:textId="3361C444" w:rsidR="00D32165" w:rsidRDefault="00D32165" w:rsidP="00D32165">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Pros and cons of measurements based on NTN-conditions. </w:t>
      </w:r>
    </w:p>
    <w:tbl>
      <w:tblPr>
        <w:tblStyle w:val="TableGrid"/>
        <w:tblW w:w="0" w:type="auto"/>
        <w:tblLook w:val="04A0" w:firstRow="1" w:lastRow="0" w:firstColumn="1" w:lastColumn="0" w:noHBand="0" w:noVBand="1"/>
      </w:tblPr>
      <w:tblGrid>
        <w:gridCol w:w="1413"/>
        <w:gridCol w:w="3118"/>
        <w:gridCol w:w="2692"/>
        <w:gridCol w:w="2408"/>
      </w:tblGrid>
      <w:tr w:rsidR="007304B2" w14:paraId="4EB70EC4" w14:textId="77777777" w:rsidTr="0041304C">
        <w:tc>
          <w:tcPr>
            <w:tcW w:w="1413" w:type="dxa"/>
            <w:shd w:val="clear" w:color="auto" w:fill="E7E6E6" w:themeFill="background2"/>
          </w:tcPr>
          <w:p w14:paraId="17390EB6" w14:textId="77777777" w:rsidR="007304B2" w:rsidRPr="007304B2" w:rsidRDefault="007304B2" w:rsidP="0018139B">
            <w:pPr>
              <w:rPr>
                <w:sz w:val="18"/>
                <w:lang w:eastAsia="en-US"/>
              </w:rPr>
            </w:pPr>
          </w:p>
        </w:tc>
        <w:tc>
          <w:tcPr>
            <w:tcW w:w="3118" w:type="dxa"/>
            <w:shd w:val="clear" w:color="auto" w:fill="E7E6E6" w:themeFill="background2"/>
          </w:tcPr>
          <w:p w14:paraId="02F62B52" w14:textId="6F8BCF44" w:rsidR="007304B2" w:rsidRPr="004E236C" w:rsidRDefault="007304B2" w:rsidP="0018139B">
            <w:pPr>
              <w:rPr>
                <w:b/>
                <w:sz w:val="18"/>
                <w:lang w:eastAsia="en-US"/>
              </w:rPr>
            </w:pPr>
            <w:r w:rsidRPr="004E236C">
              <w:rPr>
                <w:b/>
                <w:sz w:val="18"/>
                <w:lang w:eastAsia="en-US"/>
              </w:rPr>
              <w:t>Reasons for introducing the enhancements</w:t>
            </w:r>
          </w:p>
        </w:tc>
        <w:tc>
          <w:tcPr>
            <w:tcW w:w="2692" w:type="dxa"/>
            <w:shd w:val="clear" w:color="auto" w:fill="E7E6E6" w:themeFill="background2"/>
          </w:tcPr>
          <w:p w14:paraId="2261A6C9" w14:textId="5D11B78F" w:rsidR="007304B2" w:rsidRPr="004E236C" w:rsidRDefault="004E236C" w:rsidP="0018139B">
            <w:pPr>
              <w:rPr>
                <w:b/>
                <w:sz w:val="18"/>
                <w:lang w:eastAsia="en-US"/>
              </w:rPr>
            </w:pPr>
            <w:r w:rsidRPr="004E236C">
              <w:rPr>
                <w:b/>
                <w:sz w:val="18"/>
                <w:lang w:eastAsia="en-US"/>
              </w:rPr>
              <w:t>Arguments for</w:t>
            </w:r>
          </w:p>
        </w:tc>
        <w:tc>
          <w:tcPr>
            <w:tcW w:w="2408" w:type="dxa"/>
            <w:shd w:val="clear" w:color="auto" w:fill="E7E6E6" w:themeFill="background2"/>
          </w:tcPr>
          <w:p w14:paraId="38E89C0A" w14:textId="25D5E179" w:rsidR="007304B2" w:rsidRPr="004E236C" w:rsidRDefault="004E236C" w:rsidP="0018139B">
            <w:pPr>
              <w:rPr>
                <w:b/>
                <w:sz w:val="18"/>
                <w:lang w:eastAsia="en-US"/>
              </w:rPr>
            </w:pPr>
            <w:r w:rsidRPr="004E236C">
              <w:rPr>
                <w:b/>
                <w:sz w:val="18"/>
                <w:lang w:eastAsia="en-US"/>
              </w:rPr>
              <w:t>Arguments against</w:t>
            </w:r>
          </w:p>
        </w:tc>
      </w:tr>
      <w:tr w:rsidR="007304B2" w14:paraId="74FFF57C" w14:textId="77777777" w:rsidTr="0041304C">
        <w:tc>
          <w:tcPr>
            <w:tcW w:w="1413" w:type="dxa"/>
            <w:shd w:val="clear" w:color="auto" w:fill="DEEAF6" w:themeFill="accent1" w:themeFillTint="33"/>
          </w:tcPr>
          <w:p w14:paraId="5FBE4B98" w14:textId="06705B9A" w:rsidR="007304B2" w:rsidRPr="004E236C" w:rsidRDefault="007304B2" w:rsidP="0018139B">
            <w:pPr>
              <w:rPr>
                <w:b/>
                <w:sz w:val="18"/>
                <w:lang w:eastAsia="en-US"/>
              </w:rPr>
            </w:pPr>
            <w:r w:rsidRPr="004E236C">
              <w:rPr>
                <w:b/>
                <w:sz w:val="18"/>
                <w:lang w:eastAsia="en-US"/>
              </w:rPr>
              <w:t>NB-IoT</w:t>
            </w:r>
          </w:p>
        </w:tc>
        <w:tc>
          <w:tcPr>
            <w:tcW w:w="3118" w:type="dxa"/>
          </w:tcPr>
          <w:p w14:paraId="2266F09E" w14:textId="350951ED" w:rsidR="007304B2" w:rsidRPr="007304B2" w:rsidRDefault="007304B2" w:rsidP="0018139B">
            <w:pPr>
              <w:rPr>
                <w:sz w:val="18"/>
                <w:lang w:eastAsia="en-US"/>
              </w:rPr>
            </w:pPr>
            <w:r w:rsidRPr="007304B2">
              <w:rPr>
                <w:sz w:val="18"/>
                <w:lang w:eastAsia="en-US"/>
              </w:rPr>
              <w:t>Triggering neighbour cell measurements when needed in non-terrestrial network</w:t>
            </w:r>
            <w:r>
              <w:rPr>
                <w:sz w:val="18"/>
                <w:lang w:eastAsia="en-US"/>
              </w:rPr>
              <w:t xml:space="preserve"> to make RLF-based mobility more efficient</w:t>
            </w:r>
          </w:p>
        </w:tc>
        <w:tc>
          <w:tcPr>
            <w:tcW w:w="2692" w:type="dxa"/>
          </w:tcPr>
          <w:p w14:paraId="5E488B72" w14:textId="5D1D3ADD" w:rsidR="007304B2" w:rsidRPr="007304B2" w:rsidRDefault="007304B2" w:rsidP="0018139B">
            <w:pPr>
              <w:rPr>
                <w:sz w:val="18"/>
                <w:lang w:eastAsia="en-US"/>
              </w:rPr>
            </w:pPr>
            <w:r w:rsidRPr="007304B2">
              <w:rPr>
                <w:sz w:val="18"/>
                <w:lang w:eastAsia="en-US"/>
              </w:rPr>
              <w:t>- The current neighbour cell measurement criteria is unlikely to function well</w:t>
            </w:r>
            <w:r>
              <w:rPr>
                <w:sz w:val="18"/>
                <w:lang w:eastAsia="en-US"/>
              </w:rPr>
              <w:t xml:space="preserve"> in a non-terrestrial network</w:t>
            </w:r>
          </w:p>
          <w:p w14:paraId="466F4A29" w14:textId="0112F699" w:rsidR="007304B2" w:rsidRPr="007304B2" w:rsidRDefault="007304B2" w:rsidP="0018139B">
            <w:pPr>
              <w:rPr>
                <w:sz w:val="18"/>
                <w:lang w:eastAsia="en-US"/>
              </w:rPr>
            </w:pPr>
            <w:r>
              <w:rPr>
                <w:sz w:val="18"/>
                <w:lang w:eastAsia="en-US"/>
              </w:rPr>
              <w:t>- There are no</w:t>
            </w:r>
            <w:r w:rsidR="00600A62">
              <w:rPr>
                <w:sz w:val="18"/>
                <w:lang w:eastAsia="en-US"/>
              </w:rPr>
              <w:t xml:space="preserve"> connected mode</w:t>
            </w:r>
            <w:r>
              <w:rPr>
                <w:sz w:val="18"/>
                <w:lang w:eastAsia="en-US"/>
              </w:rPr>
              <w:t xml:space="preserve"> neighbour cell measurements in NB-IoT NTN </w:t>
            </w:r>
          </w:p>
        </w:tc>
        <w:tc>
          <w:tcPr>
            <w:tcW w:w="2408" w:type="dxa"/>
          </w:tcPr>
          <w:p w14:paraId="5A5CA190" w14:textId="77777777" w:rsidR="007304B2" w:rsidRDefault="004E236C" w:rsidP="0018139B">
            <w:pPr>
              <w:rPr>
                <w:sz w:val="18"/>
                <w:lang w:eastAsia="en-US"/>
              </w:rPr>
            </w:pPr>
            <w:r>
              <w:rPr>
                <w:sz w:val="18"/>
                <w:lang w:eastAsia="en-US"/>
              </w:rPr>
              <w:t>- With traffic model of small packets it is likely that mobility may not be needed in most cases</w:t>
            </w:r>
          </w:p>
          <w:p w14:paraId="6229B48A" w14:textId="14D83A12" w:rsidR="004E236C" w:rsidRPr="007304B2" w:rsidRDefault="004E236C" w:rsidP="0018139B">
            <w:pPr>
              <w:rPr>
                <w:sz w:val="18"/>
                <w:lang w:eastAsia="en-US"/>
              </w:rPr>
            </w:pPr>
            <w:r>
              <w:rPr>
                <w:sz w:val="18"/>
                <w:lang w:eastAsia="en-US"/>
              </w:rPr>
              <w:t>- Neighbour cell measurements may take a lot of time</w:t>
            </w:r>
          </w:p>
        </w:tc>
      </w:tr>
      <w:tr w:rsidR="007304B2" w14:paraId="28E665BD" w14:textId="77777777" w:rsidTr="0041304C">
        <w:tc>
          <w:tcPr>
            <w:tcW w:w="1413" w:type="dxa"/>
            <w:shd w:val="clear" w:color="auto" w:fill="DEEAF6" w:themeFill="accent1" w:themeFillTint="33"/>
          </w:tcPr>
          <w:p w14:paraId="1A7990B5" w14:textId="5A5AFDCD" w:rsidR="007304B2" w:rsidRPr="004E236C" w:rsidRDefault="007304B2" w:rsidP="0018139B">
            <w:pPr>
              <w:rPr>
                <w:b/>
                <w:sz w:val="18"/>
                <w:lang w:eastAsia="en-US"/>
              </w:rPr>
            </w:pPr>
            <w:r w:rsidRPr="004E236C">
              <w:rPr>
                <w:b/>
                <w:sz w:val="18"/>
                <w:lang w:eastAsia="en-US"/>
              </w:rPr>
              <w:t>eMTC</w:t>
            </w:r>
          </w:p>
        </w:tc>
        <w:tc>
          <w:tcPr>
            <w:tcW w:w="3118" w:type="dxa"/>
          </w:tcPr>
          <w:p w14:paraId="44B13091" w14:textId="7C9F60B1" w:rsidR="007304B2" w:rsidRPr="007304B2" w:rsidRDefault="007304B2" w:rsidP="0018139B">
            <w:pPr>
              <w:rPr>
                <w:sz w:val="18"/>
                <w:lang w:eastAsia="en-US"/>
              </w:rPr>
            </w:pPr>
            <w:r>
              <w:rPr>
                <w:sz w:val="18"/>
                <w:lang w:eastAsia="en-US"/>
              </w:rPr>
              <w:t>Power savings as UE does not have to perform neighbour cell measurements</w:t>
            </w:r>
            <w:r w:rsidR="00457432">
              <w:rPr>
                <w:sz w:val="18"/>
                <w:lang w:eastAsia="en-US"/>
              </w:rPr>
              <w:t xml:space="preserve"> in some cases</w:t>
            </w:r>
          </w:p>
        </w:tc>
        <w:tc>
          <w:tcPr>
            <w:tcW w:w="2692" w:type="dxa"/>
          </w:tcPr>
          <w:p w14:paraId="6FB7FE9D" w14:textId="384C7E25" w:rsidR="007304B2" w:rsidRPr="007304B2" w:rsidRDefault="007304B2" w:rsidP="0018139B">
            <w:pPr>
              <w:rPr>
                <w:sz w:val="18"/>
                <w:lang w:eastAsia="en-US"/>
              </w:rPr>
            </w:pPr>
            <w:r>
              <w:rPr>
                <w:sz w:val="18"/>
                <w:lang w:eastAsia="en-US"/>
              </w:rPr>
              <w:t>- Triggering neighbour cell measurements</w:t>
            </w:r>
            <w:r w:rsidR="00600A62">
              <w:rPr>
                <w:sz w:val="18"/>
                <w:lang w:eastAsia="en-US"/>
              </w:rPr>
              <w:t xml:space="preserve"> with specific conditions</w:t>
            </w:r>
            <w:r w:rsidR="004E236C">
              <w:rPr>
                <w:sz w:val="18"/>
                <w:lang w:eastAsia="en-US"/>
              </w:rPr>
              <w:t xml:space="preserve"> can support energy savings</w:t>
            </w:r>
          </w:p>
        </w:tc>
        <w:tc>
          <w:tcPr>
            <w:tcW w:w="2408" w:type="dxa"/>
          </w:tcPr>
          <w:p w14:paraId="06B486AA" w14:textId="5B9AE31D" w:rsidR="007304B2" w:rsidRDefault="00457432" w:rsidP="0018139B">
            <w:pPr>
              <w:rPr>
                <w:sz w:val="18"/>
                <w:lang w:eastAsia="en-US"/>
              </w:rPr>
            </w:pPr>
            <w:r>
              <w:rPr>
                <w:sz w:val="18"/>
                <w:lang w:eastAsia="en-US"/>
              </w:rPr>
              <w:t xml:space="preserve">- </w:t>
            </w:r>
            <w:r w:rsidR="007304B2">
              <w:rPr>
                <w:sz w:val="18"/>
                <w:lang w:eastAsia="en-US"/>
              </w:rPr>
              <w:t>eMTC</w:t>
            </w:r>
            <w:r w:rsidR="00600A62">
              <w:rPr>
                <w:sz w:val="18"/>
                <w:lang w:eastAsia="en-US"/>
              </w:rPr>
              <w:t xml:space="preserve"> connected mode mobility</w:t>
            </w:r>
            <w:r w:rsidR="007304B2">
              <w:rPr>
                <w:sz w:val="18"/>
                <w:lang w:eastAsia="en-US"/>
              </w:rPr>
              <w:t xml:space="preserve"> is not based on RLF, but rather handovers </w:t>
            </w:r>
          </w:p>
          <w:p w14:paraId="5CA10916" w14:textId="2B1823DF" w:rsidR="007304B2" w:rsidRPr="007304B2" w:rsidRDefault="007304B2" w:rsidP="0018139B">
            <w:pPr>
              <w:rPr>
                <w:sz w:val="18"/>
                <w:lang w:eastAsia="en-US"/>
              </w:rPr>
            </w:pPr>
            <w:r>
              <w:rPr>
                <w:sz w:val="18"/>
                <w:lang w:eastAsia="en-US"/>
              </w:rPr>
              <w:t>- Connected mode measurements are configured dedicatedly, thus the network may only configure neighbour cell measurements when</w:t>
            </w:r>
            <w:r w:rsidR="0041304C">
              <w:rPr>
                <w:sz w:val="18"/>
                <w:lang w:eastAsia="en-US"/>
              </w:rPr>
              <w:t xml:space="preserve"> deemed</w:t>
            </w:r>
            <w:r>
              <w:rPr>
                <w:sz w:val="18"/>
                <w:lang w:eastAsia="en-US"/>
              </w:rPr>
              <w:t xml:space="preserve"> needed</w:t>
            </w:r>
          </w:p>
        </w:tc>
      </w:tr>
    </w:tbl>
    <w:p w14:paraId="4CC4248C" w14:textId="1BBAFA3C" w:rsidR="00016031" w:rsidRDefault="00016031" w:rsidP="0018139B">
      <w:pPr>
        <w:rPr>
          <w:lang w:eastAsia="en-US"/>
        </w:rPr>
      </w:pPr>
    </w:p>
    <w:p w14:paraId="6F1E8E6F" w14:textId="18598F88" w:rsidR="00016031" w:rsidRDefault="007304B2" w:rsidP="0018139B">
      <w:pPr>
        <w:rPr>
          <w:lang w:eastAsia="en-US"/>
        </w:rPr>
      </w:pPr>
      <w:r>
        <w:rPr>
          <w:lang w:eastAsia="en-US"/>
        </w:rPr>
        <w:t xml:space="preserve">Thus we believe that if RAN2 can agree that currently discussed measurement triggers are beneficial for eMTC to save power, then the enhancements may be introduced. </w:t>
      </w:r>
    </w:p>
    <w:p w14:paraId="3EE41884" w14:textId="78A7C8E0" w:rsidR="00EA7523" w:rsidRPr="00EA7523" w:rsidRDefault="00EA7523" w:rsidP="00EA7523">
      <w:pPr>
        <w:jc w:val="both"/>
        <w:rPr>
          <w:b/>
        </w:rPr>
      </w:pPr>
      <w:r>
        <w:rPr>
          <w:b/>
        </w:rPr>
        <w:t>Observation 1: If RAN2 agrees on the usefulness of introducing NTN-specific measurement triggers as for NB-IoT, then it should be introduced for eMTC as well.</w:t>
      </w:r>
    </w:p>
    <w:p w14:paraId="4EF19292" w14:textId="24C4EBB2" w:rsidR="00174398" w:rsidRPr="00534672" w:rsidRDefault="00174398" w:rsidP="00174398">
      <w:pPr>
        <w:jc w:val="both"/>
        <w:rPr>
          <w:b/>
        </w:rPr>
      </w:pPr>
      <w:r>
        <w:rPr>
          <w:b/>
        </w:rPr>
        <w:t>Proposal 1: Introduce the same measurement triggers as for NB-IoT for eMTC, but for power saving purposes.</w:t>
      </w:r>
    </w:p>
    <w:p w14:paraId="332F9E71" w14:textId="0855726E" w:rsidR="00741328" w:rsidRDefault="0018139B" w:rsidP="0018139B">
      <w:pPr>
        <w:rPr>
          <w:lang w:val="en-GB" w:eastAsia="en-US"/>
        </w:rPr>
      </w:pPr>
      <w:r>
        <w:rPr>
          <w:lang w:val="en-GB" w:eastAsia="en-US"/>
        </w:rPr>
        <w:t>For a</w:t>
      </w:r>
      <w:r w:rsidR="00214906">
        <w:rPr>
          <w:lang w:val="en-GB" w:eastAsia="en-US"/>
        </w:rPr>
        <w:t>n</w:t>
      </w:r>
      <w:r>
        <w:rPr>
          <w:lang w:val="en-GB" w:eastAsia="en-US"/>
        </w:rPr>
        <w:t xml:space="preserve"> NB-IoT UE to perfor</w:t>
      </w:r>
      <w:r w:rsidR="003E06FD">
        <w:rPr>
          <w:lang w:val="en-GB" w:eastAsia="en-US"/>
        </w:rPr>
        <w:t>m neighbour cell measurements</w:t>
      </w:r>
      <w:r>
        <w:rPr>
          <w:lang w:val="en-GB" w:eastAsia="en-US"/>
        </w:rPr>
        <w:t xml:space="preserve"> will be a rather time-consuming process involving performing lengthy measurements that in some cases may take a very long time</w:t>
      </w:r>
      <w:r w:rsidR="00D24051">
        <w:rPr>
          <w:lang w:val="en-GB" w:eastAsia="en-US"/>
        </w:rPr>
        <w:t>. The UE may also have to</w:t>
      </w:r>
      <w:r>
        <w:rPr>
          <w:lang w:val="en-GB" w:eastAsia="en-US"/>
        </w:rPr>
        <w:t xml:space="preserve"> acquir</w:t>
      </w:r>
      <w:r w:rsidR="00D24051">
        <w:rPr>
          <w:lang w:val="en-GB" w:eastAsia="en-US"/>
        </w:rPr>
        <w:t>e</w:t>
      </w:r>
      <w:r>
        <w:rPr>
          <w:lang w:val="en-GB" w:eastAsia="en-US"/>
        </w:rPr>
        <w:t xml:space="preserve"> neighbour cell ephemeris and synchroniz</w:t>
      </w:r>
      <w:r w:rsidR="00D24051">
        <w:rPr>
          <w:lang w:val="en-GB" w:eastAsia="en-US"/>
        </w:rPr>
        <w:t>e</w:t>
      </w:r>
      <w:r>
        <w:rPr>
          <w:lang w:val="en-GB" w:eastAsia="en-US"/>
        </w:rPr>
        <w:t xml:space="preserve"> to the moving neighbouring cells to measure them. </w:t>
      </w:r>
      <w:r w:rsidR="003E06FD">
        <w:rPr>
          <w:lang w:val="en-GB" w:eastAsia="en-US"/>
        </w:rPr>
        <w:t>In many use cases, performing these measurements will not be necessary as the most common IoT use case is</w:t>
      </w:r>
      <w:r w:rsidR="00D24051">
        <w:rPr>
          <w:lang w:val="en-GB" w:eastAsia="en-US"/>
        </w:rPr>
        <w:t xml:space="preserve"> to</w:t>
      </w:r>
      <w:r w:rsidR="003E06FD">
        <w:rPr>
          <w:lang w:val="en-GB" w:eastAsia="en-US"/>
        </w:rPr>
        <w:t xml:space="preserve"> deliver very small packets. Thus to enable power savings, it should be possible for device</w:t>
      </w:r>
      <w:r w:rsidR="00741328">
        <w:rPr>
          <w:lang w:val="en-GB" w:eastAsia="en-US"/>
        </w:rPr>
        <w:t xml:space="preserve">s to not perform these actions in an NTN network even if the conditions as are currently being discussed are fulfilled. </w:t>
      </w:r>
    </w:p>
    <w:p w14:paraId="5CBFECA1" w14:textId="37BEEFE9" w:rsidR="00741328" w:rsidRDefault="00741328" w:rsidP="0018139B">
      <w:pPr>
        <w:rPr>
          <w:lang w:val="en-GB" w:eastAsia="en-US"/>
        </w:rPr>
      </w:pPr>
      <w:r>
        <w:rPr>
          <w:lang w:val="en-GB" w:eastAsia="en-US"/>
        </w:rPr>
        <w:t xml:space="preserve">Thus we propose that RAN2 should consider other conditions for not considering to perform neighbour cell measurements. </w:t>
      </w:r>
    </w:p>
    <w:p w14:paraId="2201B3A7" w14:textId="583E9F79" w:rsidR="00216998" w:rsidRPr="00534672" w:rsidRDefault="002772A6" w:rsidP="00534672">
      <w:pPr>
        <w:jc w:val="both"/>
        <w:rPr>
          <w:b/>
        </w:rPr>
      </w:pPr>
      <w:r>
        <w:rPr>
          <w:b/>
        </w:rPr>
        <w:t xml:space="preserve">Proposal </w:t>
      </w:r>
      <w:r w:rsidR="00D24051">
        <w:rPr>
          <w:b/>
        </w:rPr>
        <w:t>2</w:t>
      </w:r>
      <w:r>
        <w:rPr>
          <w:b/>
        </w:rPr>
        <w:t>:</w:t>
      </w:r>
      <w:r w:rsidR="00534672">
        <w:rPr>
          <w:b/>
        </w:rPr>
        <w:t xml:space="preserve"> RAN2 to consider </w:t>
      </w:r>
      <w:r w:rsidR="00722548">
        <w:rPr>
          <w:b/>
        </w:rPr>
        <w:t>use case-based</w:t>
      </w:r>
      <w:r w:rsidR="002334A8">
        <w:rPr>
          <w:b/>
        </w:rPr>
        <w:t xml:space="preserve"> / traffic-based</w:t>
      </w:r>
      <w:r w:rsidR="00534672">
        <w:rPr>
          <w:b/>
        </w:rPr>
        <w:t xml:space="preserve"> conditions for not performing neighbour cell measurements.</w:t>
      </w:r>
    </w:p>
    <w:p w14:paraId="163AF373" w14:textId="49B35325" w:rsidR="00216998" w:rsidRPr="00216998" w:rsidRDefault="00216998" w:rsidP="00216998">
      <w:pPr>
        <w:pStyle w:val="Heading2"/>
      </w:pPr>
      <w:r>
        <w:t>Neighbour cell ephemeris</w:t>
      </w:r>
      <w:r w:rsidR="003726B5">
        <w:t xml:space="preserve"> signaling</w:t>
      </w:r>
    </w:p>
    <w:p w14:paraId="60C8B545" w14:textId="00E10E6F" w:rsidR="00216998" w:rsidRDefault="00216998" w:rsidP="008A092A">
      <w:pPr>
        <w:pStyle w:val="PatentBody"/>
        <w:numPr>
          <w:ilvl w:val="0"/>
          <w:numId w:val="0"/>
        </w:numPr>
        <w:spacing w:after="180" w:line="240" w:lineRule="auto"/>
        <w:jc w:val="both"/>
        <w:rPr>
          <w:sz w:val="20"/>
        </w:rPr>
      </w:pPr>
      <w:r>
        <w:rPr>
          <w:sz w:val="20"/>
        </w:rPr>
        <w:t>I</w:t>
      </w:r>
      <w:r w:rsidR="000B0B40">
        <w:rPr>
          <w:sz w:val="20"/>
        </w:rPr>
        <w:t xml:space="preserve">n </w:t>
      </w:r>
      <w:r w:rsidR="006B161F">
        <w:rPr>
          <w:sz w:val="20"/>
        </w:rPr>
        <w:t>RAN2#120</w:t>
      </w:r>
      <w:r w:rsidR="0018139B">
        <w:rPr>
          <w:sz w:val="20"/>
        </w:rPr>
        <w:t xml:space="preserve"> [</w:t>
      </w:r>
      <w:r w:rsidR="00D32165">
        <w:rPr>
          <w:sz w:val="20"/>
        </w:rPr>
        <w:t>3</w:t>
      </w:r>
      <w:r w:rsidR="0018139B">
        <w:rPr>
          <w:sz w:val="20"/>
        </w:rPr>
        <w:t>]</w:t>
      </w:r>
      <w:r w:rsidR="000B0B40">
        <w:rPr>
          <w:sz w:val="20"/>
        </w:rPr>
        <w:t xml:space="preserve"> the following was agreed in RAN2 for Rel-17 IoT NTN:</w:t>
      </w:r>
    </w:p>
    <w:p w14:paraId="0D1F2163" w14:textId="77777777" w:rsidR="000B0B40" w:rsidRDefault="000B0B40" w:rsidP="000B0B40">
      <w:pPr>
        <w:pStyle w:val="Doc-text2"/>
        <w:pBdr>
          <w:top w:val="single" w:sz="4" w:space="1" w:color="auto"/>
          <w:left w:val="single" w:sz="4" w:space="4" w:color="auto"/>
          <w:bottom w:val="single" w:sz="4" w:space="1" w:color="auto"/>
          <w:right w:val="single" w:sz="4" w:space="4" w:color="auto"/>
        </w:pBdr>
      </w:pPr>
      <w:r>
        <w:t>Agreements:</w:t>
      </w:r>
    </w:p>
    <w:p w14:paraId="7E507B1F" w14:textId="77777777" w:rsidR="000B0B40" w:rsidRDefault="000B0B40" w:rsidP="000B0B40">
      <w:pPr>
        <w:pStyle w:val="Doc-text2"/>
        <w:numPr>
          <w:ilvl w:val="0"/>
          <w:numId w:val="10"/>
        </w:numPr>
        <w:pBdr>
          <w:top w:val="single" w:sz="4" w:space="1" w:color="auto"/>
          <w:left w:val="single" w:sz="4" w:space="4" w:color="auto"/>
          <w:bottom w:val="single" w:sz="4" w:space="1" w:color="auto"/>
          <w:right w:val="single" w:sz="4" w:space="4" w:color="auto"/>
        </w:pBdr>
      </w:pPr>
      <w:r>
        <w:t>RAN2 doesn’t introduce neighbour cell ephemeris in Rel-17 IoT-NTN, neither for eMTC not for NB-IoT. RAN2 agrees to support this in Rel-18, with details FFS.</w:t>
      </w:r>
    </w:p>
    <w:p w14:paraId="6E16132E" w14:textId="3FB58AB6" w:rsidR="000B0B40" w:rsidRDefault="000B0B40" w:rsidP="008A092A">
      <w:pPr>
        <w:pStyle w:val="PatentBody"/>
        <w:numPr>
          <w:ilvl w:val="0"/>
          <w:numId w:val="0"/>
        </w:numPr>
        <w:spacing w:after="180" w:line="240" w:lineRule="auto"/>
        <w:jc w:val="both"/>
        <w:rPr>
          <w:sz w:val="20"/>
          <w:lang w:val="en-US"/>
        </w:rPr>
      </w:pPr>
    </w:p>
    <w:p w14:paraId="3297336C" w14:textId="415838B6" w:rsidR="000B0B40" w:rsidRDefault="000B0B40" w:rsidP="008A092A">
      <w:pPr>
        <w:pStyle w:val="PatentBody"/>
        <w:numPr>
          <w:ilvl w:val="0"/>
          <w:numId w:val="0"/>
        </w:numPr>
        <w:spacing w:after="180" w:line="240" w:lineRule="auto"/>
        <w:jc w:val="both"/>
        <w:rPr>
          <w:sz w:val="20"/>
          <w:lang w:val="en-US"/>
        </w:rPr>
      </w:pPr>
      <w:r>
        <w:rPr>
          <w:sz w:val="20"/>
          <w:lang w:val="en-US"/>
        </w:rPr>
        <w:t>There are several aspects that need to be considered for introd</w:t>
      </w:r>
      <w:r w:rsidR="00006DCE">
        <w:rPr>
          <w:sz w:val="20"/>
          <w:lang w:val="en-US"/>
        </w:rPr>
        <w:t xml:space="preserve">ucing signaling of neighbour cell ephemeris. One main aspect is how it is signaled in some other cases and what type of constraints and requirements there are for IoT. </w:t>
      </w:r>
    </w:p>
    <w:p w14:paraId="6C1246F6" w14:textId="75F8461E" w:rsidR="00D30635" w:rsidRDefault="00D30635" w:rsidP="008A092A">
      <w:pPr>
        <w:pStyle w:val="PatentBody"/>
        <w:numPr>
          <w:ilvl w:val="0"/>
          <w:numId w:val="0"/>
        </w:numPr>
        <w:spacing w:after="180" w:line="240" w:lineRule="auto"/>
        <w:jc w:val="both"/>
        <w:rPr>
          <w:sz w:val="20"/>
          <w:lang w:val="en-US"/>
        </w:rPr>
      </w:pPr>
      <w:r>
        <w:rPr>
          <w:sz w:val="20"/>
          <w:lang w:val="en-US"/>
        </w:rPr>
        <w:t>In NR NTN</w:t>
      </w:r>
      <w:r w:rsidR="00976735">
        <w:rPr>
          <w:sz w:val="20"/>
          <w:lang w:val="en-US"/>
        </w:rPr>
        <w:t xml:space="preserve"> [4]</w:t>
      </w:r>
      <w:r>
        <w:rPr>
          <w:sz w:val="20"/>
          <w:lang w:val="en-US"/>
        </w:rPr>
        <w:t xml:space="preserve">, the neighbour cell ephemeris is signaled and </w:t>
      </w:r>
      <w:r w:rsidR="00D24051">
        <w:rPr>
          <w:sz w:val="20"/>
          <w:lang w:val="en-US"/>
        </w:rPr>
        <w:t>in the following</w:t>
      </w:r>
      <w:r>
        <w:rPr>
          <w:sz w:val="20"/>
          <w:lang w:val="en-US"/>
        </w:rPr>
        <w:t xml:space="preserve"> ways: </w:t>
      </w:r>
    </w:p>
    <w:p w14:paraId="2C4B4DEE" w14:textId="6600BC12" w:rsidR="00D30635" w:rsidRPr="00E26957" w:rsidRDefault="00D30635" w:rsidP="00E26957">
      <w:pPr>
        <w:pStyle w:val="PatentBody"/>
        <w:numPr>
          <w:ilvl w:val="0"/>
          <w:numId w:val="9"/>
        </w:numPr>
        <w:spacing w:after="180" w:line="240" w:lineRule="auto"/>
        <w:jc w:val="both"/>
        <w:rPr>
          <w:sz w:val="20"/>
          <w:lang w:val="en-US"/>
        </w:rPr>
      </w:pPr>
      <w:r w:rsidRPr="00E5360F">
        <w:rPr>
          <w:b/>
          <w:sz w:val="20"/>
          <w:lang w:val="en-US"/>
        </w:rPr>
        <w:t xml:space="preserve">In </w:t>
      </w:r>
      <w:r w:rsidR="00E5360F" w:rsidRPr="00E5360F">
        <w:rPr>
          <w:b/>
          <w:sz w:val="20"/>
          <w:lang w:val="en-US"/>
        </w:rPr>
        <w:t>SIB19</w:t>
      </w:r>
      <w:r w:rsidR="00E5360F">
        <w:rPr>
          <w:sz w:val="20"/>
          <w:lang w:val="en-US"/>
        </w:rPr>
        <w:t>. SIB19</w:t>
      </w:r>
      <w:r w:rsidR="00E26957">
        <w:rPr>
          <w:sz w:val="20"/>
          <w:lang w:val="en-US"/>
        </w:rPr>
        <w:t xml:space="preserve"> is provided for serving cell or in dedicated signaling for UEs with no common search space in an active BWP. SIB19 provides both serving cell and neighbour cell ephemeris. The neighbour cell ephemeris is in this case used for </w:t>
      </w:r>
      <w:r w:rsidR="00F64AA2">
        <w:rPr>
          <w:sz w:val="20"/>
          <w:lang w:val="en-US"/>
        </w:rPr>
        <w:t xml:space="preserve">neighbour cell measurements both in idle mode and connected mode. </w:t>
      </w:r>
      <w:r w:rsidRPr="00E26957">
        <w:rPr>
          <w:sz w:val="20"/>
          <w:lang w:val="en-US"/>
        </w:rPr>
        <w:t xml:space="preserve"> </w:t>
      </w:r>
    </w:p>
    <w:p w14:paraId="3D0EF67A" w14:textId="285CF51A" w:rsidR="00D30635" w:rsidRPr="00241AC5" w:rsidRDefault="00AB11DA" w:rsidP="00241AC5">
      <w:pPr>
        <w:pStyle w:val="PatentBody"/>
        <w:numPr>
          <w:ilvl w:val="0"/>
          <w:numId w:val="9"/>
        </w:numPr>
        <w:spacing w:after="180" w:line="240" w:lineRule="auto"/>
        <w:jc w:val="both"/>
        <w:rPr>
          <w:sz w:val="20"/>
          <w:lang w:val="en-US"/>
        </w:rPr>
      </w:pPr>
      <w:r w:rsidRPr="00E5360F">
        <w:rPr>
          <w:b/>
          <w:sz w:val="20"/>
          <w:lang w:val="en-US"/>
        </w:rPr>
        <w:t>In ServingCellConfigCommon</w:t>
      </w:r>
      <w:r w:rsidR="00E5360F" w:rsidRPr="00E5360F">
        <w:rPr>
          <w:b/>
          <w:sz w:val="20"/>
          <w:lang w:val="en-US"/>
        </w:rPr>
        <w:t>.</w:t>
      </w:r>
      <w:r w:rsidR="00E5360F">
        <w:rPr>
          <w:sz w:val="20"/>
          <w:lang w:val="en-US"/>
        </w:rPr>
        <w:t xml:space="preserve"> This is used for target cell configuration </w:t>
      </w:r>
      <w:r w:rsidR="00241AC5">
        <w:rPr>
          <w:sz w:val="20"/>
          <w:lang w:val="en-US"/>
        </w:rPr>
        <w:t xml:space="preserve">in reconfigurationWithSync for HO/CHO. </w:t>
      </w:r>
    </w:p>
    <w:p w14:paraId="60F4FF50" w14:textId="3A95059E" w:rsidR="004E6D2F" w:rsidRDefault="00241AC5" w:rsidP="008A092A">
      <w:pPr>
        <w:pStyle w:val="PatentBody"/>
        <w:numPr>
          <w:ilvl w:val="0"/>
          <w:numId w:val="0"/>
        </w:numPr>
        <w:spacing w:after="180" w:line="240" w:lineRule="auto"/>
        <w:jc w:val="both"/>
        <w:rPr>
          <w:sz w:val="20"/>
          <w:lang w:val="en-US"/>
        </w:rPr>
      </w:pPr>
      <w:r>
        <w:rPr>
          <w:sz w:val="20"/>
          <w:lang w:val="en-US"/>
        </w:rPr>
        <w:t>One way to introduce neighbour cell ephemeris in IoT NTN is to use same methods as for NR NTN</w:t>
      </w:r>
      <w:r w:rsidR="00643340">
        <w:rPr>
          <w:sz w:val="20"/>
          <w:lang w:val="en-US"/>
        </w:rPr>
        <w:t>, but</w:t>
      </w:r>
      <w:r w:rsidR="00D24051">
        <w:rPr>
          <w:sz w:val="20"/>
          <w:lang w:val="en-US"/>
        </w:rPr>
        <w:t xml:space="preserve"> </w:t>
      </w:r>
      <w:r w:rsidR="00643340">
        <w:rPr>
          <w:sz w:val="20"/>
          <w:lang w:val="en-US"/>
        </w:rPr>
        <w:t>t</w:t>
      </w:r>
      <w:r w:rsidR="00D24051">
        <w:rPr>
          <w:sz w:val="20"/>
          <w:lang w:val="en-US"/>
        </w:rPr>
        <w:t xml:space="preserve">here are however some differences. First is that UE is generally not expected to acquire system information in connected mode. Second is that NB-IoT does not need target cell ephemeris. </w:t>
      </w:r>
      <w:r>
        <w:rPr>
          <w:sz w:val="20"/>
          <w:lang w:val="en-US"/>
        </w:rPr>
        <w:t xml:space="preserve"> </w:t>
      </w:r>
    </w:p>
    <w:p w14:paraId="6FBCE6D8" w14:textId="34A4DA44" w:rsidR="00D24051" w:rsidRPr="00D24051" w:rsidRDefault="00D24051" w:rsidP="00D24051">
      <w:pPr>
        <w:jc w:val="both"/>
        <w:rPr>
          <w:b/>
        </w:rPr>
      </w:pPr>
      <w:r>
        <w:rPr>
          <w:b/>
        </w:rPr>
        <w:t xml:space="preserve">Observation </w:t>
      </w:r>
      <w:r w:rsidR="00877BFB">
        <w:rPr>
          <w:b/>
        </w:rPr>
        <w:t>2</w:t>
      </w:r>
      <w:r>
        <w:rPr>
          <w:b/>
        </w:rPr>
        <w:t xml:space="preserve">: </w:t>
      </w:r>
      <w:r w:rsidR="00341291">
        <w:rPr>
          <w:b/>
        </w:rPr>
        <w:t xml:space="preserve">IoT </w:t>
      </w:r>
      <w:r>
        <w:rPr>
          <w:b/>
        </w:rPr>
        <w:t>UE is generally not expected to acquire system information in connected mode.</w:t>
      </w:r>
    </w:p>
    <w:p w14:paraId="3F9E1D7E" w14:textId="20A13EA6" w:rsidR="00FB0D7C" w:rsidRPr="00FB0D7C" w:rsidRDefault="004E6D2F" w:rsidP="00FB0D7C">
      <w:pPr>
        <w:jc w:val="both"/>
        <w:rPr>
          <w:b/>
        </w:rPr>
      </w:pPr>
      <w:r>
        <w:rPr>
          <w:b/>
        </w:rPr>
        <w:t xml:space="preserve">Observation </w:t>
      </w:r>
      <w:r w:rsidR="00877BFB">
        <w:rPr>
          <w:b/>
        </w:rPr>
        <w:t>3</w:t>
      </w:r>
      <w:r>
        <w:rPr>
          <w:b/>
        </w:rPr>
        <w:t>: NB-IoT does not need</w:t>
      </w:r>
      <w:r w:rsidR="00035A5D">
        <w:rPr>
          <w:b/>
        </w:rPr>
        <w:t xml:space="preserve"> dedicated</w:t>
      </w:r>
      <w:r>
        <w:rPr>
          <w:b/>
        </w:rPr>
        <w:t xml:space="preserve"> target cell ephemeris.</w:t>
      </w:r>
    </w:p>
    <w:p w14:paraId="6685AC6C" w14:textId="3CBF27DA" w:rsidR="00D30635" w:rsidRDefault="0059778B" w:rsidP="008A092A">
      <w:pPr>
        <w:pStyle w:val="PatentBody"/>
        <w:numPr>
          <w:ilvl w:val="0"/>
          <w:numId w:val="0"/>
        </w:numPr>
        <w:spacing w:after="180" w:line="240" w:lineRule="auto"/>
        <w:jc w:val="both"/>
        <w:rPr>
          <w:sz w:val="20"/>
          <w:lang w:val="en-US"/>
        </w:rPr>
      </w:pPr>
      <w:r>
        <w:rPr>
          <w:sz w:val="20"/>
          <w:lang w:val="en-US"/>
        </w:rPr>
        <w:t>One issue with using the same methods, which was highlighted by the discussions in Rel-17 on introducing neighb</w:t>
      </w:r>
      <w:r w:rsidR="0041434A">
        <w:rPr>
          <w:sz w:val="20"/>
          <w:lang w:val="en-US"/>
        </w:rPr>
        <w:t>our cell ephemeris was that the maximum size of the TBS is limited and that using very large SIBs</w:t>
      </w:r>
      <w:r w:rsidR="00CD0963">
        <w:rPr>
          <w:sz w:val="20"/>
          <w:lang w:val="en-US"/>
        </w:rPr>
        <w:t>, as would be the case for the very large ephemeris elements,</w:t>
      </w:r>
      <w:r w:rsidR="0041434A">
        <w:rPr>
          <w:sz w:val="20"/>
          <w:lang w:val="en-US"/>
        </w:rPr>
        <w:t xml:space="preserve"> affects either</w:t>
      </w:r>
      <w:r w:rsidR="00CD0963">
        <w:rPr>
          <w:sz w:val="20"/>
          <w:lang w:val="en-US"/>
        </w:rPr>
        <w:t xml:space="preserve"> the</w:t>
      </w:r>
      <w:r w:rsidR="0041434A">
        <w:rPr>
          <w:sz w:val="20"/>
          <w:lang w:val="en-US"/>
        </w:rPr>
        <w:t xml:space="preserve"> coverage or the time to acquire the specific SIB. </w:t>
      </w:r>
      <w:r w:rsidR="00DD6910">
        <w:rPr>
          <w:sz w:val="20"/>
          <w:lang w:val="en-US"/>
        </w:rPr>
        <w:t>This problem is also exacerbated by the fact that while a Rel-17</w:t>
      </w:r>
      <w:r w:rsidR="00643340">
        <w:rPr>
          <w:sz w:val="20"/>
          <w:lang w:val="en-US"/>
        </w:rPr>
        <w:t xml:space="preserve"> IoT NTN</w:t>
      </w:r>
      <w:r w:rsidR="00DD6910">
        <w:rPr>
          <w:sz w:val="20"/>
          <w:lang w:val="en-US"/>
        </w:rPr>
        <w:t xml:space="preserve"> UE would not parse the related fields, it would still be affected by the coverage issues. </w:t>
      </w:r>
      <w:r w:rsidR="00F05D07">
        <w:rPr>
          <w:sz w:val="20"/>
          <w:lang w:val="en-US"/>
        </w:rPr>
        <w:t xml:space="preserve"> </w:t>
      </w:r>
      <w:r w:rsidR="00241AC5">
        <w:rPr>
          <w:sz w:val="20"/>
          <w:lang w:val="en-US"/>
        </w:rPr>
        <w:t xml:space="preserve"> </w:t>
      </w:r>
    </w:p>
    <w:p w14:paraId="62957858" w14:textId="18FCF469" w:rsidR="000647B6" w:rsidRDefault="00DD6910" w:rsidP="008A092A">
      <w:pPr>
        <w:pStyle w:val="PatentBody"/>
        <w:numPr>
          <w:ilvl w:val="0"/>
          <w:numId w:val="0"/>
        </w:numPr>
        <w:spacing w:after="180" w:line="240" w:lineRule="auto"/>
        <w:jc w:val="both"/>
        <w:rPr>
          <w:sz w:val="20"/>
          <w:lang w:val="en-US"/>
        </w:rPr>
      </w:pPr>
      <w:r>
        <w:rPr>
          <w:sz w:val="20"/>
          <w:lang w:val="en-US"/>
        </w:rPr>
        <w:t xml:space="preserve">Thus the question is how to deal with the issue of signaling ephemeris elements that are rather large. The two main options would be more efficient signaling of the neighbour cell ephemeris that requires less bits or signaling the neighbour cell ephemeris in a separate SIB. </w:t>
      </w:r>
      <w:r w:rsidR="000647B6">
        <w:rPr>
          <w:sz w:val="20"/>
          <w:lang w:val="en-US"/>
        </w:rPr>
        <w:t>We highlight some of the possibilities as well a</w:t>
      </w:r>
      <w:r w:rsidR="00035A5D">
        <w:rPr>
          <w:sz w:val="20"/>
          <w:lang w:val="en-US"/>
        </w:rPr>
        <w:t xml:space="preserve">s the pros and cons below. </w:t>
      </w:r>
    </w:p>
    <w:p w14:paraId="7C203078" w14:textId="5A957E60" w:rsidR="000647B6" w:rsidRPr="000647B6" w:rsidRDefault="00BA1A49" w:rsidP="008A092A">
      <w:pPr>
        <w:pStyle w:val="PatentBody"/>
        <w:numPr>
          <w:ilvl w:val="0"/>
          <w:numId w:val="0"/>
        </w:numPr>
        <w:spacing w:after="180" w:line="240" w:lineRule="auto"/>
        <w:jc w:val="both"/>
        <w:rPr>
          <w:b/>
          <w:sz w:val="20"/>
          <w:lang w:val="en-US"/>
        </w:rPr>
      </w:pPr>
      <w:r>
        <w:rPr>
          <w:b/>
          <w:sz w:val="20"/>
          <w:lang w:val="en-US"/>
        </w:rPr>
        <w:t xml:space="preserve">Option 1: </w:t>
      </w:r>
      <w:r w:rsidR="000647B6" w:rsidRPr="000647B6">
        <w:rPr>
          <w:b/>
          <w:sz w:val="20"/>
          <w:lang w:val="en-US"/>
        </w:rPr>
        <w:t>Efficient signaling of</w:t>
      </w:r>
      <w:r w:rsidR="00746A9C">
        <w:rPr>
          <w:b/>
          <w:sz w:val="20"/>
          <w:lang w:val="en-US"/>
        </w:rPr>
        <w:t xml:space="preserve"> broadcasted neighbour cell</w:t>
      </w:r>
      <w:r w:rsidR="000647B6" w:rsidRPr="000647B6">
        <w:rPr>
          <w:b/>
          <w:sz w:val="20"/>
          <w:lang w:val="en-US"/>
        </w:rPr>
        <w:t xml:space="preserve"> ephemeris</w:t>
      </w:r>
    </w:p>
    <w:p w14:paraId="5607064F" w14:textId="7487BD18" w:rsidR="0023250F" w:rsidRDefault="000647B6" w:rsidP="008A092A">
      <w:pPr>
        <w:pStyle w:val="PatentBody"/>
        <w:numPr>
          <w:ilvl w:val="0"/>
          <w:numId w:val="0"/>
        </w:numPr>
        <w:spacing w:after="180" w:line="240" w:lineRule="auto"/>
        <w:jc w:val="both"/>
        <w:rPr>
          <w:sz w:val="20"/>
          <w:lang w:val="en-US"/>
        </w:rPr>
      </w:pPr>
      <w:r>
        <w:rPr>
          <w:sz w:val="20"/>
          <w:lang w:val="en-US"/>
        </w:rPr>
        <w:t xml:space="preserve">Signaling of more efficient ephemeris can be done in a number of ways. For </w:t>
      </w:r>
      <w:r w:rsidR="007E26E9">
        <w:rPr>
          <w:sz w:val="20"/>
          <w:lang w:val="en-US"/>
        </w:rPr>
        <w:t>instance,</w:t>
      </w:r>
      <w:r>
        <w:rPr>
          <w:sz w:val="20"/>
          <w:lang w:val="en-US"/>
        </w:rPr>
        <w:t xml:space="preserve"> the signaling can be made more efficient by only signaling the ephemeris if the cell comes from another satellite. </w:t>
      </w:r>
      <w:r w:rsidR="007E26E9">
        <w:rPr>
          <w:sz w:val="20"/>
          <w:lang w:val="en-US"/>
        </w:rPr>
        <w:t>This can be beneficial if there are few satellites, but in many constellations there will be a lot of satellites visible</w:t>
      </w:r>
      <w:r w:rsidR="00936F38">
        <w:rPr>
          <w:sz w:val="20"/>
          <w:lang w:val="en-US"/>
        </w:rPr>
        <w:t>, satellites that may be candidates to connect to</w:t>
      </w:r>
      <w:r w:rsidR="007E26E9">
        <w:rPr>
          <w:sz w:val="20"/>
          <w:lang w:val="en-US"/>
        </w:rPr>
        <w:t xml:space="preserve">. </w:t>
      </w:r>
    </w:p>
    <w:p w14:paraId="4D37D272" w14:textId="3CF9CBAA" w:rsidR="000647B6" w:rsidRDefault="007E26E9" w:rsidP="008A092A">
      <w:pPr>
        <w:pStyle w:val="PatentBody"/>
        <w:numPr>
          <w:ilvl w:val="0"/>
          <w:numId w:val="0"/>
        </w:numPr>
        <w:spacing w:after="180" w:line="240" w:lineRule="auto"/>
        <w:jc w:val="both"/>
        <w:rPr>
          <w:sz w:val="20"/>
          <w:lang w:val="en-US"/>
        </w:rPr>
      </w:pPr>
      <w:r>
        <w:rPr>
          <w:sz w:val="20"/>
          <w:lang w:val="en-US"/>
        </w:rPr>
        <w:t xml:space="preserve">Another option can be to compress the ephemeris fields to a </w:t>
      </w:r>
      <w:r w:rsidR="001E2FCC">
        <w:rPr>
          <w:sz w:val="20"/>
          <w:lang w:val="en-US"/>
        </w:rPr>
        <w:t>coarser</w:t>
      </w:r>
      <w:r>
        <w:rPr>
          <w:sz w:val="20"/>
          <w:lang w:val="en-US"/>
        </w:rPr>
        <w:t xml:space="preserve"> representation requiring less bits. </w:t>
      </w:r>
      <w:r w:rsidR="001E2FCC">
        <w:rPr>
          <w:sz w:val="20"/>
          <w:lang w:val="en-US"/>
        </w:rPr>
        <w:t xml:space="preserve">This can be a viable option given that measurements typically require less precision </w:t>
      </w:r>
      <w:r w:rsidR="00181483">
        <w:rPr>
          <w:sz w:val="20"/>
          <w:lang w:val="en-US"/>
        </w:rPr>
        <w:t xml:space="preserve">as compared to synchronization, but this will require RAN1 or RAN4 input. </w:t>
      </w:r>
    </w:p>
    <w:p w14:paraId="4E266738" w14:textId="64ED17FC" w:rsidR="0023250F" w:rsidRPr="0023250F" w:rsidRDefault="0023250F" w:rsidP="0023250F">
      <w:pPr>
        <w:jc w:val="both"/>
        <w:rPr>
          <w:b/>
        </w:rPr>
      </w:pPr>
      <w:r>
        <w:rPr>
          <w:b/>
        </w:rPr>
        <w:t xml:space="preserve">Observation </w:t>
      </w:r>
      <w:r w:rsidR="00877BFB">
        <w:rPr>
          <w:b/>
        </w:rPr>
        <w:t>4</w:t>
      </w:r>
      <w:r>
        <w:rPr>
          <w:b/>
        </w:rPr>
        <w:t>: Less coarse ephemeris representation may allow for less bits per ephemeris element, but may require RAN1 or RAN4 input.</w:t>
      </w:r>
    </w:p>
    <w:p w14:paraId="4185B999" w14:textId="77777777" w:rsidR="00035A5D" w:rsidRDefault="00035A5D" w:rsidP="008A092A">
      <w:pPr>
        <w:pStyle w:val="PatentBody"/>
        <w:numPr>
          <w:ilvl w:val="0"/>
          <w:numId w:val="0"/>
        </w:numPr>
        <w:spacing w:after="180" w:line="240" w:lineRule="auto"/>
        <w:jc w:val="both"/>
        <w:rPr>
          <w:b/>
          <w:sz w:val="20"/>
          <w:lang w:val="en-US"/>
        </w:rPr>
      </w:pPr>
    </w:p>
    <w:p w14:paraId="6E116478" w14:textId="5B941278" w:rsidR="000647B6" w:rsidRPr="0023250F" w:rsidRDefault="00BA1A49" w:rsidP="008A092A">
      <w:pPr>
        <w:pStyle w:val="PatentBody"/>
        <w:numPr>
          <w:ilvl w:val="0"/>
          <w:numId w:val="0"/>
        </w:numPr>
        <w:spacing w:after="180" w:line="240" w:lineRule="auto"/>
        <w:jc w:val="both"/>
        <w:rPr>
          <w:b/>
          <w:sz w:val="20"/>
          <w:lang w:val="en-US"/>
        </w:rPr>
      </w:pPr>
      <w:r>
        <w:rPr>
          <w:b/>
          <w:sz w:val="20"/>
          <w:lang w:val="en-US"/>
        </w:rPr>
        <w:t xml:space="preserve">Option 2: </w:t>
      </w:r>
      <w:r w:rsidR="000647B6" w:rsidRPr="0023250F">
        <w:rPr>
          <w:b/>
          <w:sz w:val="20"/>
          <w:lang w:val="en-US"/>
        </w:rPr>
        <w:t xml:space="preserve">Separate SIB for </w:t>
      </w:r>
      <w:r w:rsidR="00746A9C">
        <w:rPr>
          <w:b/>
          <w:sz w:val="20"/>
          <w:lang w:val="en-US"/>
        </w:rPr>
        <w:t xml:space="preserve">broadcasted </w:t>
      </w:r>
      <w:r w:rsidR="000647B6" w:rsidRPr="0023250F">
        <w:rPr>
          <w:b/>
          <w:sz w:val="20"/>
          <w:lang w:val="en-US"/>
        </w:rPr>
        <w:t>neighbour cell ephemeris</w:t>
      </w:r>
    </w:p>
    <w:p w14:paraId="36077F08" w14:textId="76BDF96F" w:rsidR="000647B6" w:rsidRDefault="0023250F" w:rsidP="008A092A">
      <w:pPr>
        <w:pStyle w:val="PatentBody"/>
        <w:numPr>
          <w:ilvl w:val="0"/>
          <w:numId w:val="0"/>
        </w:numPr>
        <w:spacing w:after="180" w:line="240" w:lineRule="auto"/>
        <w:jc w:val="both"/>
        <w:rPr>
          <w:sz w:val="20"/>
          <w:lang w:val="en-US"/>
        </w:rPr>
      </w:pPr>
      <w:r>
        <w:rPr>
          <w:sz w:val="20"/>
          <w:lang w:val="en-US"/>
        </w:rPr>
        <w:t xml:space="preserve">Another option for neighbour cell ephemeris is that it is signaled in a separate SIB outside of SIB31. </w:t>
      </w:r>
      <w:r w:rsidR="008D2580">
        <w:rPr>
          <w:sz w:val="20"/>
          <w:lang w:val="en-US"/>
        </w:rPr>
        <w:t xml:space="preserve">For the purpose of discontinuous coverage, RAN2 decided that a new SIB, SIB32, would be introduced. </w:t>
      </w:r>
      <w:r w:rsidR="00E672AA">
        <w:rPr>
          <w:sz w:val="20"/>
          <w:lang w:val="en-US"/>
        </w:rPr>
        <w:t>Introducing a new separate SIB</w:t>
      </w:r>
      <w:r w:rsidR="00654F4E">
        <w:rPr>
          <w:sz w:val="20"/>
          <w:lang w:val="en-US"/>
        </w:rPr>
        <w:t xml:space="preserve"> can have the benefit that coverage for Rel-17 NTN UEs may still be maintained, while the enhanced UE would have to acquire the new SIB. This can also be motivated by the fact that the use case that requires longer connection time is more likely to be in a sce</w:t>
      </w:r>
      <w:r w:rsidR="004511CD">
        <w:rPr>
          <w:sz w:val="20"/>
          <w:lang w:val="en-US"/>
        </w:rPr>
        <w:t xml:space="preserve">nario that has better coverage, thus it would </w:t>
      </w:r>
      <w:r w:rsidR="00DE292B">
        <w:rPr>
          <w:sz w:val="20"/>
          <w:lang w:val="en-US"/>
        </w:rPr>
        <w:t xml:space="preserve">not be </w:t>
      </w:r>
      <w:r w:rsidR="00BA1A49">
        <w:rPr>
          <w:sz w:val="20"/>
          <w:lang w:val="en-US"/>
        </w:rPr>
        <w:t xml:space="preserve">an issue </w:t>
      </w:r>
      <w:r w:rsidR="00DE292B">
        <w:rPr>
          <w:sz w:val="20"/>
          <w:lang w:val="en-US"/>
        </w:rPr>
        <w:t xml:space="preserve">if the UE connecting for a longer time would have to acquire another SIB. </w:t>
      </w:r>
      <w:r w:rsidR="00E672AA">
        <w:rPr>
          <w:sz w:val="20"/>
          <w:lang w:val="en-US"/>
        </w:rPr>
        <w:t>There may have to be some specification effort on when and how the new SIB is acquired, but it is likely to be less complicate</w:t>
      </w:r>
      <w:r w:rsidR="007F7AA7">
        <w:rPr>
          <w:sz w:val="20"/>
          <w:lang w:val="en-US"/>
        </w:rPr>
        <w:t>d compared to acquiring SIB31. Furthermore</w:t>
      </w:r>
      <w:r w:rsidR="00B314DB">
        <w:rPr>
          <w:sz w:val="20"/>
          <w:lang w:val="en-US"/>
        </w:rPr>
        <w:t>,</w:t>
      </w:r>
      <w:r w:rsidR="007F7AA7">
        <w:rPr>
          <w:sz w:val="20"/>
          <w:lang w:val="en-US"/>
        </w:rPr>
        <w:t xml:space="preserve"> this also enables the possibility of certain UEs that are not expected to need to stay in connected mode for a long time to not acquire the new SIB. </w:t>
      </w:r>
    </w:p>
    <w:p w14:paraId="43CFD869" w14:textId="7116FDD3" w:rsidR="00B314DB" w:rsidRPr="0023250F" w:rsidRDefault="00B314DB" w:rsidP="00B314DB">
      <w:pPr>
        <w:jc w:val="both"/>
        <w:rPr>
          <w:b/>
        </w:rPr>
      </w:pPr>
      <w:r>
        <w:rPr>
          <w:b/>
        </w:rPr>
        <w:t xml:space="preserve">Observation </w:t>
      </w:r>
      <w:r w:rsidR="00877BFB">
        <w:rPr>
          <w:b/>
        </w:rPr>
        <w:t>5</w:t>
      </w:r>
      <w:r>
        <w:rPr>
          <w:b/>
        </w:rPr>
        <w:t>: Using a separate new SIB for neighbour cell ephemeris signaling has several benefits.</w:t>
      </w:r>
    </w:p>
    <w:p w14:paraId="2F864AD9" w14:textId="1A147414" w:rsidR="00FB0D7C" w:rsidRPr="00534672" w:rsidRDefault="00FB0D7C" w:rsidP="00FB0D7C">
      <w:pPr>
        <w:jc w:val="both"/>
        <w:rPr>
          <w:b/>
        </w:rPr>
      </w:pPr>
      <w:r>
        <w:rPr>
          <w:b/>
        </w:rPr>
        <w:t xml:space="preserve">Proposal </w:t>
      </w:r>
      <w:r w:rsidR="00877BFB">
        <w:rPr>
          <w:b/>
        </w:rPr>
        <w:t>3</w:t>
      </w:r>
      <w:r>
        <w:rPr>
          <w:b/>
        </w:rPr>
        <w:t>: RAN2 to discuss options on broadcasted neighbour cell ephemeris.</w:t>
      </w:r>
    </w:p>
    <w:p w14:paraId="7DF83C08" w14:textId="1DB5D073" w:rsidR="0099772A" w:rsidRDefault="00035A5D" w:rsidP="008D61D6">
      <w:pPr>
        <w:rPr>
          <w:lang w:val="en-GB" w:eastAsia="en-US"/>
        </w:rPr>
      </w:pPr>
      <w:r>
        <w:rPr>
          <w:lang w:val="en-GB" w:eastAsia="en-US"/>
        </w:rPr>
        <w:t xml:space="preserve">For the target cell </w:t>
      </w:r>
      <w:r w:rsidR="00DD16AF">
        <w:rPr>
          <w:lang w:val="en-GB" w:eastAsia="en-US"/>
        </w:rPr>
        <w:t xml:space="preserve">neighbour cell </w:t>
      </w:r>
      <w:r>
        <w:rPr>
          <w:lang w:val="en-GB" w:eastAsia="en-US"/>
        </w:rPr>
        <w:t xml:space="preserve">ephemeris for eMTC, </w:t>
      </w:r>
      <w:r w:rsidR="00DD16AF">
        <w:rPr>
          <w:lang w:val="en-GB" w:eastAsia="en-US"/>
        </w:rPr>
        <w:t>there are also some considerations needed.</w:t>
      </w:r>
      <w:r>
        <w:rPr>
          <w:lang w:val="en-GB" w:eastAsia="en-US"/>
        </w:rPr>
        <w:t xml:space="preserve"> In IoT NTN</w:t>
      </w:r>
      <w:r w:rsidR="00DD16AF">
        <w:rPr>
          <w:lang w:val="en-GB" w:eastAsia="en-US"/>
        </w:rPr>
        <w:t xml:space="preserve"> </w:t>
      </w:r>
      <w:r w:rsidR="00E75C0F">
        <w:rPr>
          <w:lang w:val="en-GB" w:eastAsia="en-US"/>
        </w:rPr>
        <w:t>R</w:t>
      </w:r>
      <w:r w:rsidR="00DD16AF">
        <w:rPr>
          <w:lang w:val="en-GB" w:eastAsia="en-US"/>
        </w:rPr>
        <w:t>el-17</w:t>
      </w:r>
      <w:r>
        <w:rPr>
          <w:lang w:val="en-GB" w:eastAsia="en-US"/>
        </w:rPr>
        <w:t>, the target cell ephemeris is sent with SIB31 as part of</w:t>
      </w:r>
      <w:r w:rsidR="0099772A">
        <w:rPr>
          <w:lang w:val="en-GB" w:eastAsia="en-US"/>
        </w:rPr>
        <w:t xml:space="preserve"> </w:t>
      </w:r>
      <w:r w:rsidR="0099772A" w:rsidRPr="0099772A">
        <w:rPr>
          <w:i/>
          <w:lang w:val="en-GB" w:eastAsia="en-US"/>
        </w:rPr>
        <w:t>RRCConnectionReconfiguration</w:t>
      </w:r>
      <w:r w:rsidR="0099772A">
        <w:rPr>
          <w:lang w:val="en-GB" w:eastAsia="en-US"/>
        </w:rPr>
        <w:t xml:space="preserve"> along with</w:t>
      </w:r>
      <w:r>
        <w:rPr>
          <w:lang w:val="en-GB" w:eastAsia="en-US"/>
        </w:rPr>
        <w:t xml:space="preserve"> the handover command</w:t>
      </w:r>
      <w:r w:rsidR="00E75C0F">
        <w:rPr>
          <w:lang w:val="en-GB" w:eastAsia="en-US"/>
        </w:rPr>
        <w:t xml:space="preserve"> (</w:t>
      </w:r>
      <w:r w:rsidR="00E75C0F" w:rsidRPr="00D019F7">
        <w:rPr>
          <w:i/>
          <w:lang w:val="en-GB" w:eastAsia="en-US"/>
        </w:rPr>
        <w:t>mobilityControlInfo</w:t>
      </w:r>
      <w:r w:rsidR="00E75C0F">
        <w:rPr>
          <w:lang w:val="en-GB" w:eastAsia="en-US"/>
        </w:rPr>
        <w:t>)</w:t>
      </w:r>
      <w:r>
        <w:rPr>
          <w:lang w:val="en-GB" w:eastAsia="en-US"/>
        </w:rPr>
        <w:t xml:space="preserve"> </w:t>
      </w:r>
      <w:r w:rsidR="00DD16AF">
        <w:rPr>
          <w:lang w:val="en-GB" w:eastAsia="en-US"/>
        </w:rPr>
        <w:t xml:space="preserve">so that IoT NTN UE does not have to read any SIB in connected mode except as indicated by T317. If the target cell neighbour cell ephemeris is included in a handover command, it is likely that the handover command may become prohibitively large, hence the above considerations to have it in a separate SIB. </w:t>
      </w:r>
      <w:r w:rsidR="006148EC">
        <w:rPr>
          <w:lang w:val="en-GB" w:eastAsia="en-US"/>
        </w:rPr>
        <w:t>Furthermore, as in conditional handover the UE may be provided with target cell configurations, this may imply that for each target cell the UE is given the target cell neighbour cell</w:t>
      </w:r>
      <w:r w:rsidR="00D019F7">
        <w:rPr>
          <w:lang w:val="en-GB" w:eastAsia="en-US"/>
        </w:rPr>
        <w:t xml:space="preserve"> ephemeris</w:t>
      </w:r>
      <w:r w:rsidR="006148EC">
        <w:rPr>
          <w:lang w:val="en-GB" w:eastAsia="en-US"/>
        </w:rPr>
        <w:t xml:space="preserve">, this would likely become prohibitively large. </w:t>
      </w:r>
    </w:p>
    <w:p w14:paraId="522F3DD1" w14:textId="7D59C4D9" w:rsidR="003726B5" w:rsidRDefault="0099772A" w:rsidP="008D61D6">
      <w:pPr>
        <w:rPr>
          <w:lang w:val="en-GB" w:eastAsia="en-US"/>
        </w:rPr>
      </w:pPr>
      <w:r>
        <w:rPr>
          <w:lang w:val="en-GB" w:eastAsia="en-US"/>
        </w:rPr>
        <w:t>T</w:t>
      </w:r>
      <w:r w:rsidR="004E4988">
        <w:rPr>
          <w:lang w:val="en-GB" w:eastAsia="en-US"/>
        </w:rPr>
        <w:t>o</w:t>
      </w:r>
      <w:r>
        <w:rPr>
          <w:lang w:val="en-GB" w:eastAsia="en-US"/>
        </w:rPr>
        <w:t xml:space="preserve"> solve the above problem</w:t>
      </w:r>
      <w:r w:rsidR="004E4988">
        <w:rPr>
          <w:lang w:val="en-GB" w:eastAsia="en-US"/>
        </w:rPr>
        <w:t>s,</w:t>
      </w:r>
      <w:r w:rsidR="00DD16AF">
        <w:rPr>
          <w:lang w:val="en-GB" w:eastAsia="en-US"/>
        </w:rPr>
        <w:t xml:space="preserve"> </w:t>
      </w:r>
      <w:r w:rsidR="00CC70E9">
        <w:rPr>
          <w:lang w:val="en-GB" w:eastAsia="en-US"/>
        </w:rPr>
        <w:t xml:space="preserve">we think that the solution can be that a UE acquires the neighbour cell ephemeris in the cell that it is connected to. </w:t>
      </w:r>
      <w:r w:rsidR="004C5BBC">
        <w:rPr>
          <w:lang w:val="en-GB" w:eastAsia="en-US"/>
        </w:rPr>
        <w:t xml:space="preserve">This is also motivated by the fact that acquiring neighbour cell ephemeris may not be crucial at first moment when connecting. </w:t>
      </w:r>
      <w:r w:rsidR="00F10703">
        <w:rPr>
          <w:lang w:val="en-GB" w:eastAsia="en-US"/>
        </w:rPr>
        <w:t xml:space="preserve">Exactly how this is done is FFS. </w:t>
      </w:r>
    </w:p>
    <w:p w14:paraId="1000119E" w14:textId="630A938F" w:rsidR="00F10703" w:rsidRPr="00534672" w:rsidRDefault="00F10703" w:rsidP="00F10703">
      <w:pPr>
        <w:jc w:val="both"/>
        <w:rPr>
          <w:b/>
        </w:rPr>
      </w:pPr>
      <w:r>
        <w:rPr>
          <w:b/>
        </w:rPr>
        <w:t xml:space="preserve">Proposal </w:t>
      </w:r>
      <w:r w:rsidR="00877BFB">
        <w:rPr>
          <w:b/>
        </w:rPr>
        <w:t>4</w:t>
      </w:r>
      <w:r>
        <w:rPr>
          <w:b/>
        </w:rPr>
        <w:t>: Target cell neighbour cell ephemeris is acquired in target cell</w:t>
      </w:r>
      <w:r w:rsidR="00BE0A0C">
        <w:rPr>
          <w:b/>
        </w:rPr>
        <w:t xml:space="preserve"> when a handover is performed</w:t>
      </w:r>
      <w:r>
        <w:rPr>
          <w:b/>
        </w:rPr>
        <w:t>. Exact details are FFS.</w:t>
      </w:r>
    </w:p>
    <w:p w14:paraId="154505A0" w14:textId="7E9931EF" w:rsidR="00895FC5" w:rsidRPr="00531FAA" w:rsidRDefault="00895FC5" w:rsidP="00BB3BBA">
      <w:pPr>
        <w:rPr>
          <w:lang w:val="en-GB" w:eastAsia="en-US"/>
        </w:rPr>
      </w:pPr>
    </w:p>
    <w:p w14:paraId="2A665769" w14:textId="41B4B8DD" w:rsidR="007C6BBA" w:rsidRDefault="007C6BBA">
      <w:pPr>
        <w:pStyle w:val="Heading2"/>
      </w:pPr>
      <w:r>
        <w:t>RLF procedures</w:t>
      </w:r>
    </w:p>
    <w:p w14:paraId="55536DFE" w14:textId="3F94277C" w:rsidR="007C6BBA" w:rsidRDefault="007C6BBA" w:rsidP="007C6BBA">
      <w:pPr>
        <w:pStyle w:val="PatentBody"/>
        <w:numPr>
          <w:ilvl w:val="0"/>
          <w:numId w:val="0"/>
        </w:numPr>
        <w:spacing w:after="180" w:line="240" w:lineRule="auto"/>
        <w:jc w:val="both"/>
        <w:rPr>
          <w:sz w:val="20"/>
        </w:rPr>
      </w:pPr>
      <w:r>
        <w:rPr>
          <w:sz w:val="20"/>
        </w:rPr>
        <w:t xml:space="preserve">The main mechanism for performing connected mode mobility for NB-IoT is through RLF and subsequently the RRC re-establishment procedures. The RRC re-establishment procedures allow for a UE to re-establish its connection to a cell, that may be the same cell or a new cell. During the re-establishment procedure, if the an eNB has the UE context, then the UE does not need to be reconfigured. If an eNB does not have the UE context </w:t>
      </w:r>
      <w:r w:rsidR="00980130">
        <w:rPr>
          <w:sz w:val="20"/>
        </w:rPr>
        <w:t>t</w:t>
      </w:r>
      <w:r>
        <w:rPr>
          <w:sz w:val="20"/>
        </w:rPr>
        <w:t>hen there are two alternatives, either the eNB replies with a</w:t>
      </w:r>
      <w:r w:rsidR="00980130">
        <w:rPr>
          <w:sz w:val="20"/>
        </w:rPr>
        <w:t>n</w:t>
      </w:r>
      <w:r>
        <w:rPr>
          <w:sz w:val="20"/>
        </w:rPr>
        <w:t xml:space="preserve"> </w:t>
      </w:r>
      <w:r w:rsidRPr="00980130">
        <w:rPr>
          <w:i/>
          <w:sz w:val="20"/>
        </w:rPr>
        <w:t>RRCSetup</w:t>
      </w:r>
      <w:r>
        <w:rPr>
          <w:sz w:val="20"/>
        </w:rPr>
        <w:t xml:space="preserve"> or the eNB may request the UE context from the eNB that the</w:t>
      </w:r>
      <w:r w:rsidR="004E22ED">
        <w:rPr>
          <w:sz w:val="20"/>
        </w:rPr>
        <w:t xml:space="preserve"> UE was connected to in the previously</w:t>
      </w:r>
      <w:r>
        <w:rPr>
          <w:sz w:val="20"/>
        </w:rPr>
        <w:t xml:space="preserve">. </w:t>
      </w:r>
      <w:r w:rsidR="001226A2">
        <w:rPr>
          <w:sz w:val="20"/>
        </w:rPr>
        <w:t xml:space="preserve">This procedure will be greatly useful for the RLF procedures in an NB-IoT Non-Terrestrial Network. </w:t>
      </w:r>
      <w:r>
        <w:rPr>
          <w:sz w:val="20"/>
        </w:rPr>
        <w:t xml:space="preserve"> All together this can be seen in Figure 1.</w:t>
      </w:r>
    </w:p>
    <w:p w14:paraId="7CAF8043" w14:textId="77777777" w:rsidR="007C6BBA" w:rsidRDefault="007C6BBA" w:rsidP="007C6BBA">
      <w:pPr>
        <w:pStyle w:val="PatentBody"/>
        <w:numPr>
          <w:ilvl w:val="0"/>
          <w:numId w:val="0"/>
        </w:numPr>
        <w:spacing w:after="180" w:line="240" w:lineRule="auto"/>
        <w:jc w:val="both"/>
        <w:rPr>
          <w:sz w:val="20"/>
        </w:rPr>
      </w:pPr>
    </w:p>
    <w:p w14:paraId="73D8861E" w14:textId="77777777" w:rsidR="007C6BBA" w:rsidRDefault="007C6BBA" w:rsidP="007C6BBA">
      <w:pPr>
        <w:pStyle w:val="PatentBody"/>
        <w:keepNext/>
        <w:numPr>
          <w:ilvl w:val="0"/>
          <w:numId w:val="0"/>
        </w:numPr>
        <w:spacing w:after="180" w:line="240" w:lineRule="auto"/>
        <w:jc w:val="center"/>
      </w:pPr>
      <w:r>
        <w:rPr>
          <w:noProof/>
          <w:sz w:val="20"/>
          <w:lang w:eastAsia="zh-CN"/>
        </w:rPr>
        <w:drawing>
          <wp:inline distT="0" distB="0" distL="0" distR="0" wp14:anchorId="6BC73069" wp14:editId="53990E13">
            <wp:extent cx="4924425" cy="4333875"/>
            <wp:effectExtent l="0" t="0" r="9525" b="9525"/>
            <wp:docPr id="1" name="Picture 1" descr="Re-establishmen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establishment proced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425" cy="4333875"/>
                    </a:xfrm>
                    <a:prstGeom prst="rect">
                      <a:avLst/>
                    </a:prstGeom>
                    <a:noFill/>
                    <a:ln>
                      <a:noFill/>
                    </a:ln>
                  </pic:spPr>
                </pic:pic>
              </a:graphicData>
            </a:graphic>
          </wp:inline>
        </w:drawing>
      </w:r>
    </w:p>
    <w:p w14:paraId="549E2FCC" w14:textId="77777777" w:rsidR="007C6BBA" w:rsidRDefault="007C6BBA" w:rsidP="007C6BBA">
      <w:pPr>
        <w:pStyle w:val="Caption"/>
        <w:jc w:val="center"/>
        <w:rPr>
          <w:b/>
          <w:i w:val="0"/>
          <w:color w:val="000000" w:themeColor="text1"/>
          <w:sz w:val="20"/>
        </w:rPr>
      </w:pPr>
      <w:r>
        <w:rPr>
          <w:b/>
          <w:i w:val="0"/>
          <w:color w:val="000000" w:themeColor="text1"/>
        </w:rPr>
        <w:t xml:space="preserve">Figure </w:t>
      </w:r>
      <w:r>
        <w:rPr>
          <w:b/>
          <w:i w:val="0"/>
          <w:color w:val="000000" w:themeColor="text1"/>
        </w:rPr>
        <w:fldChar w:fldCharType="begin"/>
      </w:r>
      <w:r>
        <w:rPr>
          <w:b/>
          <w:i w:val="0"/>
          <w:color w:val="000000" w:themeColor="text1"/>
        </w:rPr>
        <w:instrText xml:space="preserve"> SEQ Figure \* ARABIC </w:instrText>
      </w:r>
      <w:r>
        <w:rPr>
          <w:b/>
          <w:i w:val="0"/>
          <w:color w:val="000000" w:themeColor="text1"/>
        </w:rPr>
        <w:fldChar w:fldCharType="separate"/>
      </w:r>
      <w:r>
        <w:rPr>
          <w:b/>
          <w:i w:val="0"/>
          <w:noProof/>
          <w:color w:val="000000" w:themeColor="text1"/>
        </w:rPr>
        <w:t>1</w:t>
      </w:r>
      <w:r>
        <w:rPr>
          <w:b/>
          <w:i w:val="0"/>
          <w:color w:val="000000" w:themeColor="text1"/>
        </w:rPr>
        <w:fldChar w:fldCharType="end"/>
      </w:r>
      <w:r>
        <w:rPr>
          <w:b/>
          <w:i w:val="0"/>
          <w:color w:val="000000" w:themeColor="text1"/>
        </w:rPr>
        <w:t xml:space="preserve">. RRC Re-establishment procedures. </w:t>
      </w:r>
    </w:p>
    <w:p w14:paraId="37A1EC39" w14:textId="59FD56C3" w:rsidR="007C6BBA" w:rsidRDefault="00980130" w:rsidP="007C6BBA">
      <w:pPr>
        <w:pStyle w:val="PatentBody"/>
        <w:numPr>
          <w:ilvl w:val="0"/>
          <w:numId w:val="0"/>
        </w:numPr>
        <w:spacing w:after="180" w:line="240" w:lineRule="auto"/>
        <w:jc w:val="both"/>
        <w:rPr>
          <w:sz w:val="20"/>
        </w:rPr>
      </w:pPr>
      <w:r>
        <w:rPr>
          <w:sz w:val="20"/>
        </w:rPr>
        <w:t>The enhancements that are currently being discussed with regards to the neighbour cell measurements</w:t>
      </w:r>
      <w:r w:rsidR="00D40BB8">
        <w:rPr>
          <w:sz w:val="20"/>
        </w:rPr>
        <w:t xml:space="preserve"> is targeted at improving the RLF procedures in </w:t>
      </w:r>
      <w:r>
        <w:rPr>
          <w:sz w:val="20"/>
        </w:rPr>
        <w:t>NB-</w:t>
      </w:r>
      <w:r w:rsidR="00D40BB8">
        <w:rPr>
          <w:sz w:val="20"/>
        </w:rPr>
        <w:t xml:space="preserve">IoT NTN. In order to improve these procedures, we think that the handling of the UE context </w:t>
      </w:r>
      <w:r w:rsidR="00EA63FC">
        <w:rPr>
          <w:sz w:val="20"/>
        </w:rPr>
        <w:t xml:space="preserve">can </w:t>
      </w:r>
      <w:r w:rsidR="00D40BB8">
        <w:rPr>
          <w:sz w:val="20"/>
        </w:rPr>
        <w:t>also be improved. On</w:t>
      </w:r>
      <w:r w:rsidR="00EA63FC">
        <w:rPr>
          <w:sz w:val="20"/>
        </w:rPr>
        <w:t>e</w:t>
      </w:r>
      <w:r w:rsidR="00D40BB8">
        <w:rPr>
          <w:sz w:val="20"/>
        </w:rPr>
        <w:t xml:space="preserve"> such enhancement is that the UE Context is sent in advance from an eNB that is aware of the potential future eNBs that a UE will connect to after an RLF is triggered. </w:t>
      </w:r>
      <w:r w:rsidR="00EE6E39">
        <w:rPr>
          <w:sz w:val="20"/>
        </w:rPr>
        <w:t>Thus we propose that RAN2 discuss how to improve NB-IoT RLF procedures by sending the UE context in advance:</w:t>
      </w:r>
    </w:p>
    <w:p w14:paraId="50A4499E" w14:textId="66F653D3" w:rsidR="00EE6E39" w:rsidRPr="00534672" w:rsidRDefault="00EE6E39" w:rsidP="00EE6E39">
      <w:pPr>
        <w:jc w:val="both"/>
        <w:rPr>
          <w:b/>
        </w:rPr>
      </w:pPr>
      <w:r>
        <w:rPr>
          <w:b/>
        </w:rPr>
        <w:t xml:space="preserve">Proposal </w:t>
      </w:r>
      <w:r w:rsidR="007217A0">
        <w:rPr>
          <w:b/>
        </w:rPr>
        <w:t>5</w:t>
      </w:r>
      <w:r>
        <w:rPr>
          <w:b/>
        </w:rPr>
        <w:t>: RAN2 to discuss how to improve NB-IoT RLF procedures by sending UE context in advance.</w:t>
      </w:r>
    </w:p>
    <w:p w14:paraId="4D24BDC4" w14:textId="37AB45D3" w:rsidR="007C6BBA" w:rsidRPr="007217A0" w:rsidRDefault="007C6BBA" w:rsidP="007C6BBA">
      <w:pPr>
        <w:rPr>
          <w:lang w:eastAsia="en-US"/>
        </w:rPr>
      </w:pP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23547096" w14:textId="77777777" w:rsidR="00B11C8B" w:rsidRPr="00EA7523" w:rsidRDefault="00B11C8B" w:rsidP="00B11C8B">
      <w:pPr>
        <w:spacing w:after="60"/>
        <w:jc w:val="both"/>
        <w:rPr>
          <w:b/>
        </w:rPr>
      </w:pPr>
      <w:r>
        <w:rPr>
          <w:b/>
        </w:rPr>
        <w:t>Observation 1: If RAN2 agrees on the usefulness of introducing NTN-specific measurement triggers as for NB-IoT, then it should be introduced for eMTC as well.</w:t>
      </w:r>
    </w:p>
    <w:p w14:paraId="2A75E9D3" w14:textId="77777777" w:rsidR="00B11C8B" w:rsidRPr="00D24051" w:rsidRDefault="00B11C8B" w:rsidP="00B11C8B">
      <w:pPr>
        <w:spacing w:after="60"/>
        <w:jc w:val="both"/>
        <w:rPr>
          <w:b/>
        </w:rPr>
      </w:pPr>
      <w:r>
        <w:rPr>
          <w:b/>
        </w:rPr>
        <w:t>Observation 2: IoT UE is generally not expected to acquire system information in connected mode.</w:t>
      </w:r>
    </w:p>
    <w:p w14:paraId="08980E6F" w14:textId="77777777" w:rsidR="00B11C8B" w:rsidRPr="00FB0D7C" w:rsidRDefault="00B11C8B" w:rsidP="00B11C8B">
      <w:pPr>
        <w:spacing w:after="60"/>
        <w:jc w:val="both"/>
        <w:rPr>
          <w:b/>
        </w:rPr>
      </w:pPr>
      <w:r>
        <w:rPr>
          <w:b/>
        </w:rPr>
        <w:t>Observation 3: NB-IoT does not need dedicated target cell ephemeris.</w:t>
      </w:r>
    </w:p>
    <w:p w14:paraId="44C296C8" w14:textId="77777777" w:rsidR="00B11C8B" w:rsidRPr="0023250F" w:rsidRDefault="00B11C8B" w:rsidP="00B11C8B">
      <w:pPr>
        <w:spacing w:after="60"/>
        <w:jc w:val="both"/>
        <w:rPr>
          <w:b/>
        </w:rPr>
      </w:pPr>
      <w:r>
        <w:rPr>
          <w:b/>
        </w:rPr>
        <w:t>Observation 4: Less coarse ephemeris representation may allow for less bits per ephemeris element, but may require RAN1 or RAN4 input.</w:t>
      </w:r>
    </w:p>
    <w:p w14:paraId="62D8FB65" w14:textId="77777777" w:rsidR="00B11C8B" w:rsidRPr="0023250F" w:rsidRDefault="00B11C8B" w:rsidP="00B11C8B">
      <w:pPr>
        <w:spacing w:after="60"/>
        <w:jc w:val="both"/>
        <w:rPr>
          <w:b/>
        </w:rPr>
      </w:pPr>
      <w:r>
        <w:rPr>
          <w:b/>
        </w:rPr>
        <w:t>Observation 5: Using a separate new SIB for neighbour cell ephemeris signaling has several benefits.</w:t>
      </w:r>
    </w:p>
    <w:p w14:paraId="119F1B5C" w14:textId="77777777" w:rsidR="007217A0" w:rsidRPr="00F97E01" w:rsidRDefault="007217A0" w:rsidP="00572337">
      <w:pPr>
        <w:spacing w:after="60"/>
        <w:rPr>
          <w:lang w:eastAsia="ko-KR"/>
        </w:rPr>
      </w:pPr>
      <w:bookmarkStart w:id="0" w:name="_GoBack"/>
      <w:bookmarkEnd w:id="0"/>
    </w:p>
    <w:p w14:paraId="58F2E798" w14:textId="77777777" w:rsidR="00B11C8B" w:rsidRPr="00534672" w:rsidRDefault="00B11C8B" w:rsidP="00B11C8B">
      <w:pPr>
        <w:spacing w:after="60"/>
        <w:jc w:val="both"/>
        <w:rPr>
          <w:b/>
        </w:rPr>
      </w:pPr>
      <w:r>
        <w:rPr>
          <w:b/>
        </w:rPr>
        <w:t>Proposal 1: Introduce the same measurement triggers as for NB-IoT for eMTC, but for power saving purposes.</w:t>
      </w:r>
    </w:p>
    <w:p w14:paraId="46316139" w14:textId="77777777" w:rsidR="00B11C8B" w:rsidRPr="00534672" w:rsidRDefault="00B11C8B" w:rsidP="00B11C8B">
      <w:pPr>
        <w:spacing w:after="60"/>
        <w:jc w:val="both"/>
        <w:rPr>
          <w:b/>
        </w:rPr>
      </w:pPr>
      <w:r>
        <w:rPr>
          <w:b/>
        </w:rPr>
        <w:t>Proposal 2: RAN2 to consider use case-based / traffic-based conditions for not performing neighbour cell measurements.</w:t>
      </w:r>
    </w:p>
    <w:p w14:paraId="31D52A3F" w14:textId="77777777" w:rsidR="00B11C8B" w:rsidRPr="00534672" w:rsidRDefault="00B11C8B" w:rsidP="00B11C8B">
      <w:pPr>
        <w:spacing w:after="60"/>
        <w:jc w:val="both"/>
        <w:rPr>
          <w:b/>
        </w:rPr>
      </w:pPr>
      <w:r>
        <w:rPr>
          <w:b/>
        </w:rPr>
        <w:t>Proposal 3: RAN2 to discuss options on broadcasted neighbour cell ephemeris.</w:t>
      </w:r>
    </w:p>
    <w:p w14:paraId="170DD3B6" w14:textId="77777777" w:rsidR="00B11C8B" w:rsidRPr="00534672" w:rsidRDefault="00B11C8B" w:rsidP="00B11C8B">
      <w:pPr>
        <w:spacing w:after="60"/>
        <w:jc w:val="both"/>
        <w:rPr>
          <w:b/>
        </w:rPr>
      </w:pPr>
      <w:r>
        <w:rPr>
          <w:b/>
        </w:rPr>
        <w:t>Proposal 4: Target cell neighbour cell ephemeris is acquired in target cell when a handover is performed. Exact details are FFS.</w:t>
      </w:r>
    </w:p>
    <w:p w14:paraId="2551A119" w14:textId="77777777" w:rsidR="00B11C8B" w:rsidRPr="00534672" w:rsidRDefault="00B11C8B" w:rsidP="00B11C8B">
      <w:pPr>
        <w:spacing w:after="60"/>
        <w:jc w:val="both"/>
        <w:rPr>
          <w:b/>
        </w:rPr>
      </w:pPr>
      <w:r>
        <w:rPr>
          <w:b/>
        </w:rPr>
        <w:t>Proposal 5: RAN2 to discuss how to improve NB-IoT RLF procedures by sending UE context in advance.</w:t>
      </w: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405079">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08E56826" w:rsidR="00D32165" w:rsidRPr="005525D5" w:rsidRDefault="00D32165" w:rsidP="00405079">
      <w:pPr>
        <w:pStyle w:val="references"/>
        <w:spacing w:after="180" w:line="240" w:lineRule="auto"/>
        <w:rPr>
          <w:szCs w:val="20"/>
        </w:rPr>
      </w:pPr>
      <w:r>
        <w:rPr>
          <w:rFonts w:ascii="Arial" w:hAnsi="Arial" w:cs="Arial"/>
          <w:szCs w:val="20"/>
        </w:rPr>
        <w:t>RP-223519, Revised WID on IoT NTN enhancements, Mediatek Inc., RAN#98-e, December 2022</w:t>
      </w:r>
    </w:p>
    <w:p w14:paraId="3647F3EC" w14:textId="48435DA9" w:rsidR="005525D5" w:rsidRPr="007522E2" w:rsidRDefault="007522E2" w:rsidP="00405079">
      <w:pPr>
        <w:pStyle w:val="references"/>
        <w:spacing w:after="180" w:line="240" w:lineRule="auto"/>
        <w:rPr>
          <w:szCs w:val="20"/>
        </w:rPr>
      </w:pPr>
      <w:r>
        <w:rPr>
          <w:rFonts w:ascii="Arial" w:hAnsi="Arial" w:cs="Arial"/>
          <w:szCs w:val="20"/>
        </w:rPr>
        <w:t>RAN#1</w:t>
      </w:r>
      <w:r w:rsidR="00D32165">
        <w:rPr>
          <w:rFonts w:ascii="Arial" w:hAnsi="Arial" w:cs="Arial"/>
          <w:szCs w:val="20"/>
        </w:rPr>
        <w:t>20</w:t>
      </w:r>
      <w:r>
        <w:rPr>
          <w:rFonts w:ascii="Arial" w:hAnsi="Arial" w:cs="Arial"/>
          <w:szCs w:val="20"/>
        </w:rPr>
        <w:t>-e</w:t>
      </w:r>
      <w:r w:rsidR="005525D5">
        <w:rPr>
          <w:rFonts w:ascii="Arial" w:hAnsi="Arial" w:cs="Arial"/>
          <w:szCs w:val="20"/>
        </w:rPr>
        <w:t xml:space="preserve"> Chairman’s notes. </w:t>
      </w:r>
    </w:p>
    <w:p w14:paraId="44673D30" w14:textId="722ED2BC" w:rsidR="00D507E3" w:rsidRPr="006A242E" w:rsidRDefault="00D507E3" w:rsidP="00405079">
      <w:pPr>
        <w:pStyle w:val="references"/>
        <w:spacing w:after="180" w:line="240" w:lineRule="auto"/>
        <w:rPr>
          <w:rFonts w:ascii="Arial" w:hAnsi="Arial" w:cs="Arial"/>
          <w:szCs w:val="20"/>
        </w:rPr>
      </w:pPr>
      <w:r w:rsidRPr="006A242E">
        <w:rPr>
          <w:rFonts w:ascii="Arial" w:hAnsi="Arial" w:cs="Arial"/>
          <w:szCs w:val="20"/>
        </w:rPr>
        <w:t>3GPP TS 3</w:t>
      </w:r>
      <w:r w:rsidR="00D32165">
        <w:rPr>
          <w:rFonts w:ascii="Arial" w:hAnsi="Arial" w:cs="Arial"/>
          <w:szCs w:val="20"/>
        </w:rPr>
        <w:t>8</w:t>
      </w:r>
      <w:r w:rsidRPr="006A242E">
        <w:rPr>
          <w:rFonts w:ascii="Arial" w:hAnsi="Arial" w:cs="Arial"/>
          <w:szCs w:val="20"/>
        </w:rPr>
        <w:t>.331 “Radio Resource Control (RRC) protocol specification”, V17.</w:t>
      </w:r>
      <w:r w:rsidR="00D32165">
        <w:rPr>
          <w:rFonts w:ascii="Arial" w:hAnsi="Arial" w:cs="Arial"/>
          <w:szCs w:val="20"/>
        </w:rPr>
        <w:t>3</w:t>
      </w:r>
      <w:r w:rsidRPr="006A242E">
        <w:rPr>
          <w:rFonts w:ascii="Arial" w:hAnsi="Arial" w:cs="Arial"/>
          <w:szCs w:val="20"/>
        </w:rPr>
        <w:t xml:space="preserve">.0, </w:t>
      </w:r>
      <w:r w:rsidR="00D32165">
        <w:rPr>
          <w:rFonts w:ascii="Arial" w:hAnsi="Arial" w:cs="Arial"/>
          <w:szCs w:val="20"/>
        </w:rPr>
        <w:t>January 2023</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B34FE" w14:textId="77777777" w:rsidR="00EE5AAD" w:rsidRDefault="00EE5AAD" w:rsidP="00051DF8">
      <w:r>
        <w:separator/>
      </w:r>
    </w:p>
  </w:endnote>
  <w:endnote w:type="continuationSeparator" w:id="0">
    <w:p w14:paraId="7E3AB694" w14:textId="77777777" w:rsidR="00EE5AAD" w:rsidRDefault="00EE5AAD" w:rsidP="00051DF8">
      <w:r>
        <w:continuationSeparator/>
      </w:r>
    </w:p>
  </w:endnote>
  <w:endnote w:type="continuationNotice" w:id="1">
    <w:p w14:paraId="6BA8B716" w14:textId="77777777" w:rsidR="00EE5AAD" w:rsidRDefault="00EE5AA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296AA" w14:textId="77777777" w:rsidR="00EE5AAD" w:rsidRDefault="00EE5AAD" w:rsidP="00051DF8">
      <w:r>
        <w:separator/>
      </w:r>
    </w:p>
  </w:footnote>
  <w:footnote w:type="continuationSeparator" w:id="0">
    <w:p w14:paraId="0AF6E343" w14:textId="77777777" w:rsidR="00EE5AAD" w:rsidRDefault="00EE5AAD" w:rsidP="00051DF8">
      <w:r>
        <w:continuationSeparator/>
      </w:r>
    </w:p>
  </w:footnote>
  <w:footnote w:type="continuationNotice" w:id="1">
    <w:p w14:paraId="108D2BDE" w14:textId="77777777" w:rsidR="00EE5AAD" w:rsidRDefault="00EE5AA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9"/>
  </w:num>
  <w:num w:numId="4">
    <w:abstractNumId w:val="6"/>
  </w:num>
  <w:num w:numId="5">
    <w:abstractNumId w:val="7"/>
  </w:num>
  <w:num w:numId="6">
    <w:abstractNumId w:val="4"/>
  </w:num>
  <w:num w:numId="7">
    <w:abstractNumId w:val="2"/>
  </w:num>
  <w:num w:numId="8">
    <w:abstractNumId w:val="8"/>
  </w:num>
  <w:num w:numId="9">
    <w:abstractNumId w:val="3"/>
  </w:num>
  <w:num w:numId="10">
    <w:abstractNumId w:val="5"/>
  </w:num>
  <w:num w:numId="11">
    <w:abstractNumId w:val="0"/>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6DCE"/>
    <w:rsid w:val="00007761"/>
    <w:rsid w:val="00007CAB"/>
    <w:rsid w:val="0001163B"/>
    <w:rsid w:val="00011C8D"/>
    <w:rsid w:val="00013CD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47B6"/>
    <w:rsid w:val="00065268"/>
    <w:rsid w:val="00070BD9"/>
    <w:rsid w:val="00071C4F"/>
    <w:rsid w:val="00072646"/>
    <w:rsid w:val="00073C9C"/>
    <w:rsid w:val="0007792A"/>
    <w:rsid w:val="00080512"/>
    <w:rsid w:val="00081240"/>
    <w:rsid w:val="0008378E"/>
    <w:rsid w:val="00085269"/>
    <w:rsid w:val="00090468"/>
    <w:rsid w:val="00090CD4"/>
    <w:rsid w:val="000914AC"/>
    <w:rsid w:val="00094568"/>
    <w:rsid w:val="00094C6B"/>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AE8"/>
    <w:rsid w:val="00112F1A"/>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B8"/>
    <w:rsid w:val="001617E5"/>
    <w:rsid w:val="00165A0D"/>
    <w:rsid w:val="00166728"/>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6647"/>
    <w:rsid w:val="001E2FCC"/>
    <w:rsid w:val="001F168B"/>
    <w:rsid w:val="001F7831"/>
    <w:rsid w:val="002013CD"/>
    <w:rsid w:val="00204045"/>
    <w:rsid w:val="0020712B"/>
    <w:rsid w:val="0021231D"/>
    <w:rsid w:val="00212942"/>
    <w:rsid w:val="00214804"/>
    <w:rsid w:val="00214906"/>
    <w:rsid w:val="00216876"/>
    <w:rsid w:val="00216998"/>
    <w:rsid w:val="002171B2"/>
    <w:rsid w:val="00220815"/>
    <w:rsid w:val="002219AC"/>
    <w:rsid w:val="00223FCA"/>
    <w:rsid w:val="00224AAB"/>
    <w:rsid w:val="0022606D"/>
    <w:rsid w:val="002264D3"/>
    <w:rsid w:val="002277C7"/>
    <w:rsid w:val="00230FE8"/>
    <w:rsid w:val="00231728"/>
    <w:rsid w:val="0023250F"/>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72A6"/>
    <w:rsid w:val="002815C0"/>
    <w:rsid w:val="00283F62"/>
    <w:rsid w:val="002840C7"/>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D093F"/>
    <w:rsid w:val="002D2C29"/>
    <w:rsid w:val="002D2CA2"/>
    <w:rsid w:val="002D6446"/>
    <w:rsid w:val="002D657A"/>
    <w:rsid w:val="002E00B5"/>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06FD"/>
    <w:rsid w:val="003E136B"/>
    <w:rsid w:val="003E16BE"/>
    <w:rsid w:val="003E17A4"/>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738E"/>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E6C"/>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4207"/>
    <w:rsid w:val="005D6E49"/>
    <w:rsid w:val="005D725F"/>
    <w:rsid w:val="005E28FB"/>
    <w:rsid w:val="005F0D6D"/>
    <w:rsid w:val="005F2403"/>
    <w:rsid w:val="00600A62"/>
    <w:rsid w:val="0060107D"/>
    <w:rsid w:val="00601EDF"/>
    <w:rsid w:val="00601F46"/>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6D99"/>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7A0"/>
    <w:rsid w:val="00721D97"/>
    <w:rsid w:val="00722548"/>
    <w:rsid w:val="00723B0B"/>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0C28"/>
    <w:rsid w:val="007A2E55"/>
    <w:rsid w:val="007A3137"/>
    <w:rsid w:val="007A7099"/>
    <w:rsid w:val="007A74F5"/>
    <w:rsid w:val="007B09F5"/>
    <w:rsid w:val="007B18D8"/>
    <w:rsid w:val="007B2202"/>
    <w:rsid w:val="007B2A65"/>
    <w:rsid w:val="007B3C9A"/>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E1392"/>
    <w:rsid w:val="007E26E9"/>
    <w:rsid w:val="007E2EF9"/>
    <w:rsid w:val="007E34F3"/>
    <w:rsid w:val="007F03B5"/>
    <w:rsid w:val="007F09F2"/>
    <w:rsid w:val="007F2D37"/>
    <w:rsid w:val="007F2E08"/>
    <w:rsid w:val="007F4297"/>
    <w:rsid w:val="007F7AA7"/>
    <w:rsid w:val="007F7EC4"/>
    <w:rsid w:val="00800199"/>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5EB1"/>
    <w:rsid w:val="008768CA"/>
    <w:rsid w:val="00877BFB"/>
    <w:rsid w:val="00877EF9"/>
    <w:rsid w:val="00880559"/>
    <w:rsid w:val="008818E2"/>
    <w:rsid w:val="00882533"/>
    <w:rsid w:val="008849F5"/>
    <w:rsid w:val="00890D75"/>
    <w:rsid w:val="00892166"/>
    <w:rsid w:val="00892D9D"/>
    <w:rsid w:val="00894B26"/>
    <w:rsid w:val="00895A0B"/>
    <w:rsid w:val="00895FC5"/>
    <w:rsid w:val="00896CB6"/>
    <w:rsid w:val="008A092A"/>
    <w:rsid w:val="008A2511"/>
    <w:rsid w:val="008A331F"/>
    <w:rsid w:val="008B3C42"/>
    <w:rsid w:val="008B5306"/>
    <w:rsid w:val="008B74AF"/>
    <w:rsid w:val="008C285A"/>
    <w:rsid w:val="008C2E2A"/>
    <w:rsid w:val="008C3057"/>
    <w:rsid w:val="008C3B37"/>
    <w:rsid w:val="008C3BA0"/>
    <w:rsid w:val="008C4E29"/>
    <w:rsid w:val="008C55C1"/>
    <w:rsid w:val="008D19D1"/>
    <w:rsid w:val="008D2580"/>
    <w:rsid w:val="008D2E4D"/>
    <w:rsid w:val="008D3BA5"/>
    <w:rsid w:val="008D49D8"/>
    <w:rsid w:val="008D61D6"/>
    <w:rsid w:val="008D6817"/>
    <w:rsid w:val="008E0988"/>
    <w:rsid w:val="008E4AF8"/>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6F38"/>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6735"/>
    <w:rsid w:val="00977122"/>
    <w:rsid w:val="00977609"/>
    <w:rsid w:val="00977EAC"/>
    <w:rsid w:val="00980130"/>
    <w:rsid w:val="00982DAE"/>
    <w:rsid w:val="00983FFE"/>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A4F"/>
    <w:rsid w:val="00A82346"/>
    <w:rsid w:val="00A85727"/>
    <w:rsid w:val="00A860CF"/>
    <w:rsid w:val="00A90727"/>
    <w:rsid w:val="00A91596"/>
    <w:rsid w:val="00A9671C"/>
    <w:rsid w:val="00AA1553"/>
    <w:rsid w:val="00AA4F5A"/>
    <w:rsid w:val="00AA5A02"/>
    <w:rsid w:val="00AA610D"/>
    <w:rsid w:val="00AA6D24"/>
    <w:rsid w:val="00AB11DA"/>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11C8B"/>
    <w:rsid w:val="00B11EAC"/>
    <w:rsid w:val="00B13A48"/>
    <w:rsid w:val="00B14B63"/>
    <w:rsid w:val="00B15449"/>
    <w:rsid w:val="00B157CB"/>
    <w:rsid w:val="00B15B76"/>
    <w:rsid w:val="00B16C2F"/>
    <w:rsid w:val="00B176C9"/>
    <w:rsid w:val="00B2602A"/>
    <w:rsid w:val="00B261CD"/>
    <w:rsid w:val="00B27303"/>
    <w:rsid w:val="00B30F22"/>
    <w:rsid w:val="00B314DB"/>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18CB"/>
    <w:rsid w:val="00BA1A49"/>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F14F3"/>
    <w:rsid w:val="00BF3CBC"/>
    <w:rsid w:val="00BF4333"/>
    <w:rsid w:val="00BF4969"/>
    <w:rsid w:val="00C00351"/>
    <w:rsid w:val="00C00512"/>
    <w:rsid w:val="00C0146E"/>
    <w:rsid w:val="00C04A27"/>
    <w:rsid w:val="00C060FE"/>
    <w:rsid w:val="00C11561"/>
    <w:rsid w:val="00C12B51"/>
    <w:rsid w:val="00C1493D"/>
    <w:rsid w:val="00C151D4"/>
    <w:rsid w:val="00C1670C"/>
    <w:rsid w:val="00C21AA8"/>
    <w:rsid w:val="00C23F90"/>
    <w:rsid w:val="00C243E1"/>
    <w:rsid w:val="00C24650"/>
    <w:rsid w:val="00C25465"/>
    <w:rsid w:val="00C30859"/>
    <w:rsid w:val="00C31B5A"/>
    <w:rsid w:val="00C32649"/>
    <w:rsid w:val="00C33079"/>
    <w:rsid w:val="00C339E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E1A"/>
    <w:rsid w:val="00CF2423"/>
    <w:rsid w:val="00CF4D95"/>
    <w:rsid w:val="00CF73D9"/>
    <w:rsid w:val="00D011CA"/>
    <w:rsid w:val="00D019F7"/>
    <w:rsid w:val="00D020FC"/>
    <w:rsid w:val="00D06125"/>
    <w:rsid w:val="00D06188"/>
    <w:rsid w:val="00D12DDB"/>
    <w:rsid w:val="00D1769D"/>
    <w:rsid w:val="00D24051"/>
    <w:rsid w:val="00D24C0D"/>
    <w:rsid w:val="00D30635"/>
    <w:rsid w:val="00D30C9E"/>
    <w:rsid w:val="00D32165"/>
    <w:rsid w:val="00D33400"/>
    <w:rsid w:val="00D33BE3"/>
    <w:rsid w:val="00D3498F"/>
    <w:rsid w:val="00D35DEB"/>
    <w:rsid w:val="00D36C63"/>
    <w:rsid w:val="00D3792D"/>
    <w:rsid w:val="00D40BB8"/>
    <w:rsid w:val="00D43C85"/>
    <w:rsid w:val="00D43FB4"/>
    <w:rsid w:val="00D44D37"/>
    <w:rsid w:val="00D47CAD"/>
    <w:rsid w:val="00D507E3"/>
    <w:rsid w:val="00D51036"/>
    <w:rsid w:val="00D51BE4"/>
    <w:rsid w:val="00D52FC5"/>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26957"/>
    <w:rsid w:val="00E37E4F"/>
    <w:rsid w:val="00E41B53"/>
    <w:rsid w:val="00E41C0F"/>
    <w:rsid w:val="00E45739"/>
    <w:rsid w:val="00E46C08"/>
    <w:rsid w:val="00E471CF"/>
    <w:rsid w:val="00E47979"/>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A12F9"/>
    <w:rsid w:val="00EA3E27"/>
    <w:rsid w:val="00EA5A15"/>
    <w:rsid w:val="00EA63FC"/>
    <w:rsid w:val="00EA66C9"/>
    <w:rsid w:val="00EA715F"/>
    <w:rsid w:val="00EA7523"/>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013E"/>
    <w:rsid w:val="00EE5AAD"/>
    <w:rsid w:val="00EE5F79"/>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DE6"/>
    <w:rsid w:val="00F141DF"/>
    <w:rsid w:val="00F177BD"/>
    <w:rsid w:val="00F2026E"/>
    <w:rsid w:val="00F209BD"/>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AA2"/>
    <w:rsid w:val="00F653B8"/>
    <w:rsid w:val="00F701EF"/>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656"/>
    <w:rsid w:val="00FB36FA"/>
    <w:rsid w:val="00FB3A4D"/>
    <w:rsid w:val="00FB5272"/>
    <w:rsid w:val="00FB6501"/>
    <w:rsid w:val="00FB6F30"/>
    <w:rsid w:val="00FC1192"/>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72481-455C-4CF3-A3BA-EF377924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2023-02-17T06:35:00Z</dcterms:created>
  <dcterms:modified xsi:type="dcterms:W3CDTF">2023-02-17T06:35:00Z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